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3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90"/>
        <w:gridCol w:w="3244"/>
      </w:tblGrid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80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ab/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Уважаемые доктора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стоматологи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Приглашаем Вас на  семинар Наталье Викторовне  Тиуновой</w:t>
            </w:r>
          </w:p>
          <w:p>
            <w:pPr>
              <w:pStyle w:val="Обычный"/>
              <w:jc w:val="center"/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декабря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2019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 года в г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Архангельск</w:t>
              <w:tab/>
            </w:r>
          </w:p>
          <w:p>
            <w:pPr>
              <w:pStyle w:val="Обычный (веб)"/>
              <w:jc w:val="center"/>
            </w:pPr>
            <w:r>
              <w:rPr>
                <w:b w:val="1"/>
                <w:bCs w:val="1"/>
                <w:sz w:val="20"/>
                <w:szCs w:val="20"/>
                <w:lang w:val="ru-RU"/>
              </w:rPr>
            </w:r>
          </w:p>
        </w:tc>
        <w:tc>
          <w:tcPr>
            <w:tcW w:type="dxa" w:w="32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drawing>
                <wp:inline distT="0" distB="0" distL="0" distR="0">
                  <wp:extent cx="1746527" cy="57226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27" cy="5722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| 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tabs>
          <w:tab w:val="left" w:pos="10854"/>
        </w:tabs>
        <w:ind w:left="284" w:firstLine="425"/>
        <w:rPr>
          <w:b w:val="1"/>
          <w:bCs w:val="1"/>
          <w:color w:val="ff0000"/>
          <w:sz w:val="16"/>
          <w:szCs w:val="16"/>
          <w:u w:color="ff0000"/>
        </w:rPr>
      </w:pPr>
      <w:r>
        <w:rPr>
          <w:b w:val="1"/>
          <w:bCs w:val="1"/>
          <w:color w:val="ff0000"/>
          <w:sz w:val="16"/>
          <w:szCs w:val="16"/>
          <w:u w:color="ff0000"/>
          <w:rtl w:val="0"/>
          <w:lang w:val="ru-RU"/>
        </w:rPr>
        <w:t>Заявка по учебному мероприятию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Семинар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«Тактика ведения пациента с  заболеваниями  слизистой оболочки рта на клиническом приеме»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  <w:color w:val="7030a0"/>
          <w:sz w:val="18"/>
          <w:szCs w:val="18"/>
          <w:u w:color="7030a0"/>
        </w:rPr>
      </w:pP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(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для врачей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стоматологов всех специализаций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rPr>
          <w:b w:val="1"/>
          <w:bCs w:val="1"/>
          <w:i w:val="1"/>
          <w:iCs w:val="1"/>
          <w:color w:val="7030a0"/>
          <w:sz w:val="16"/>
          <w:szCs w:val="16"/>
          <w:u w:color="7030a0"/>
        </w:rPr>
      </w:pPr>
    </w:p>
    <w:p>
      <w:pPr>
        <w:pStyle w:val="Обычный (веб)"/>
        <w:shd w:val="clear" w:color="auto" w:fill="ffffff"/>
        <w:spacing w:before="0" w:after="0"/>
        <w:ind w:left="284" w:firstLine="0"/>
        <w:rPr>
          <w:i w:val="1"/>
          <w:iCs w:val="1"/>
          <w:color w:val="27282c"/>
          <w:sz w:val="20"/>
          <w:szCs w:val="20"/>
          <w:u w:color="27282c"/>
        </w:rPr>
      </w:pPr>
      <w:r>
        <w:rPr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line">
              <wp:posOffset>60960</wp:posOffset>
            </wp:positionV>
            <wp:extent cx="645795" cy="8743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874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 xml:space="preserve">Лектор Тиунова Наталья Викторовна 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(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Нижний Новгород</w:t>
      </w:r>
      <w:r>
        <w:rPr>
          <w:b w:val="1"/>
          <w:bCs w:val="1"/>
          <w:i w:val="1"/>
          <w:iCs w:val="1"/>
          <w:color w:val="7030a0"/>
          <w:sz w:val="20"/>
          <w:szCs w:val="2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доцент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врач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терапевт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 – заболевания слизистой оболочки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Опубликовано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130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научных работ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,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 является соавтором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учебно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методических пособий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Присуждена квалификация ВРАЧ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 по специальности «Стоматология»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2007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 терапевтическая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2009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2011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Экспертиза временной нетрудоспособности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Медико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социальная экспертиза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".2013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 программе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Педагогика и психология высшей школы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окончила ФГКОУ ВПО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Юриспруденция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Стоматология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XVI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Человек и лекарство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14-18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г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(3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).-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IX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юбилейной научной сессии НижГМА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Новгород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18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марта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- 2010"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13-14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64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Киев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3-4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ноября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Медицина и фармация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XXI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столетия – шаг в будущее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19-20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2012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- 2012"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Моя инициатива в образовании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- 2015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» в номинации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Лучший инновационный проект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".-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IV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Всероссийского чемпионата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 зубов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27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сентября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).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(2015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: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микроинвазивная стоматология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эндодонтия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заболевания слизистой оболочки полости рта</w:t>
      </w:r>
      <w:r>
        <w:rPr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i w:val="1"/>
          <w:iCs w:val="1"/>
          <w:color w:val="27282c"/>
          <w:sz w:val="16"/>
          <w:szCs w:val="16"/>
          <w:u w:color="27282c"/>
        </w:rPr>
      </w:pP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По данным статистики в России с каждым годом частота онкологических заболеваний полости рта стремительно растет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и процент не выявленных и запущенных случаев достиг </w:t>
      </w:r>
      <w:r>
        <w:rPr>
          <w:sz w:val="16"/>
          <w:szCs w:val="16"/>
          <w:rtl w:val="0"/>
          <w:lang w:val="ru-RU"/>
        </w:rPr>
        <w:t xml:space="preserve">60%. </w:t>
      </w:r>
      <w:r>
        <w:rPr>
          <w:sz w:val="16"/>
          <w:szCs w:val="16"/>
          <w:rtl w:val="0"/>
          <w:lang w:val="ru-RU"/>
        </w:rPr>
        <w:t xml:space="preserve">Чаще всего болезни подвергаются люди старше </w:t>
      </w:r>
      <w:r>
        <w:rPr>
          <w:sz w:val="16"/>
          <w:szCs w:val="16"/>
          <w:rtl w:val="0"/>
          <w:lang w:val="ru-RU"/>
        </w:rPr>
        <w:t xml:space="preserve">50 </w:t>
      </w:r>
      <w:r>
        <w:rPr>
          <w:sz w:val="16"/>
          <w:szCs w:val="16"/>
          <w:rtl w:val="0"/>
          <w:lang w:val="ru-RU"/>
        </w:rPr>
        <w:t>лет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причем мужчины в два раза чаще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чем женщины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Курение и употребление алкоголя являются самыми значимыми факторами риска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Профилактика и ранняя диагностика заболевания является главной задачей стоматологов и онкологов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Заболевания слизистой оболочки рта встречаются в практике врача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 любой специальности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И в связи с увеличением частоты предраковых и раковых заболеваний каждому врачу необходимо знать клинические признаки предраковых заболеваний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признаки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указывающие на озлокачествление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чтобы не допустить потери времени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столь важной для пациента и вовремя помочь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Так как пациент с болевым синдромом чаще всего обращается к терапевту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пародонтологу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челюстно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лицевому хирургу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то данный семинар будет полезен врачам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стоматологам всех специализаций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284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Будут использованы так же материалы  из </w:t>
      </w:r>
      <w:r>
        <w:rPr>
          <w:sz w:val="16"/>
          <w:szCs w:val="16"/>
          <w:rtl w:val="0"/>
          <w:lang w:val="en-US"/>
        </w:rPr>
        <w:t>VI</w:t>
      </w:r>
      <w:r>
        <w:rPr>
          <w:sz w:val="16"/>
          <w:szCs w:val="16"/>
          <w:rtl w:val="0"/>
          <w:lang w:val="ru-RU"/>
        </w:rPr>
        <w:t xml:space="preserve"> Евразийского форума по онкологии головы и шеи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который прошел </w:t>
      </w:r>
      <w:r>
        <w:rPr>
          <w:sz w:val="16"/>
          <w:szCs w:val="16"/>
          <w:rtl w:val="0"/>
          <w:lang w:val="ru-RU"/>
        </w:rPr>
        <w:t xml:space="preserve">11-14 </w:t>
      </w:r>
      <w:r>
        <w:rPr>
          <w:sz w:val="16"/>
          <w:szCs w:val="16"/>
          <w:rtl w:val="0"/>
          <w:lang w:val="ru-RU"/>
        </w:rPr>
        <w:t xml:space="preserve">июля </w:t>
      </w:r>
      <w:r>
        <w:rPr>
          <w:sz w:val="16"/>
          <w:szCs w:val="16"/>
          <w:rtl w:val="0"/>
          <w:lang w:val="ru-RU"/>
        </w:rPr>
        <w:t xml:space="preserve">2019 </w:t>
      </w:r>
      <w:r>
        <w:rPr>
          <w:sz w:val="16"/>
          <w:szCs w:val="16"/>
          <w:rtl w:val="0"/>
          <w:lang w:val="ru-RU"/>
        </w:rPr>
        <w:t>года в Москве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бычный (веб)"/>
        <w:spacing w:before="0" w:after="0" w:line="330" w:lineRule="atLeast"/>
        <w:ind w:left="720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Строение слизистой оболочки 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первичные и вторичные элементы поражения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Травматические поражения слизистой оболочки рта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Поражение слизистой оболочки рта при дерматозах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акантолитическая пузырчатка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пемфигоид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красный плоский лишай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Алгоритм действий врача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герпетическом стоматите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кандидозе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сифилисе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туберкулезе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ВИЧ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инфекции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аллергических поражениях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хронический рецидивирующий афтозный стоматит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многоформная экссудативная эритема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Стивенса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Джонсона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Лайелла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слизистой оболочки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языка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2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желудочно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кишечного тракта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сердечно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сосудистой и эндокринной системы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заболеваниях крови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гиповитаминозах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120"/>
        <w:ind w:left="567" w:hanging="283"/>
        <w:jc w:val="both"/>
        <w:rPr>
          <w:b w:val="1"/>
          <w:bCs w:val="1"/>
          <w:sz w:val="20"/>
          <w:szCs w:val="20"/>
        </w:rPr>
      </w:pP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147609</wp:posOffset>
                </wp:positionH>
                <wp:positionV relativeFrom="line">
                  <wp:posOffset>17779</wp:posOffset>
                </wp:positionV>
                <wp:extent cx="581025" cy="6000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63500" dist="28398" dir="3806097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-0.0pt;margin-top:0.0pt;width:45.7pt;height:47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504D" opacity="100.0%" type="solid"/>
                <v:stroke filltype="solid" color="#F2F2F2" opacity="100.0%" weight="3.0pt" dashstyle="solid" endcap="flat" joinstyle="round" linestyle="single" startarrow="none" startarrowwidth="medium" startarrowlength="medium" endarrow="none" endarrowwidth="medium" endarrowlength="medium"/>
                <v:shadow on="t" color="#622423" opacity="0.5" offset="1.0pt,2.0pt"/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0"/>
          <w:szCs w:val="20"/>
          <w:rtl w:val="0"/>
          <w:lang w:val="ru-RU"/>
        </w:rPr>
        <w:t>1.</w:t>
      </w:r>
      <w:r>
        <w:rPr>
          <w:b w:val="1"/>
          <w:bCs w:val="1"/>
          <w:sz w:val="20"/>
          <w:szCs w:val="20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b w:val="1"/>
          <w:bCs w:val="1"/>
          <w:sz w:val="20"/>
          <w:szCs w:val="20"/>
          <w:rtl w:val="0"/>
          <w:lang w:val="ru-RU"/>
        </w:rPr>
        <w:t>;</w:t>
      </w:r>
    </w:p>
    <w:p>
      <w:pPr>
        <w:pStyle w:val="Обычный (веб)"/>
        <w:spacing w:before="0" w:after="120"/>
        <w:ind w:left="1276" w:firstLine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2.</w:t>
      </w:r>
      <w:r>
        <w:rPr>
          <w:b w:val="1"/>
          <w:bCs w:val="1"/>
          <w:sz w:val="20"/>
          <w:szCs w:val="20"/>
          <w:rtl w:val="0"/>
          <w:lang w:val="ru-RU"/>
        </w:rPr>
        <w:t xml:space="preserve">Демонстрация работы с лампой АФС </w:t>
      </w:r>
      <w:r>
        <w:rPr>
          <w:b w:val="1"/>
          <w:bCs w:val="1"/>
          <w:sz w:val="20"/>
          <w:szCs w:val="20"/>
          <w:rtl w:val="0"/>
          <w:lang w:val="ru-RU"/>
        </w:rPr>
        <w:t>(</w:t>
      </w:r>
      <w:r>
        <w:rPr>
          <w:b w:val="1"/>
          <w:bCs w:val="1"/>
          <w:sz w:val="20"/>
          <w:szCs w:val="20"/>
          <w:rtl w:val="0"/>
          <w:lang w:val="ru-RU"/>
        </w:rPr>
        <w:t>аппарат для онкоскрининга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ru-RU"/>
        </w:rPr>
        <w:t>ранней диагностики предраковых заболеваний</w:t>
      </w:r>
      <w:r>
        <w:rPr>
          <w:b w:val="1"/>
          <w:bCs w:val="1"/>
          <w:sz w:val="20"/>
          <w:szCs w:val="20"/>
          <w:rtl w:val="0"/>
          <w:lang w:val="ru-RU"/>
        </w:rPr>
        <w:t>)</w:t>
      </w:r>
      <w:r>
        <w:rPr>
          <w:b w:val="1"/>
          <w:bCs w:val="1"/>
          <w:sz w:val="20"/>
          <w:szCs w:val="20"/>
          <w:rtl w:val="0"/>
          <w:lang w:val="ru-RU"/>
        </w:rPr>
        <w:t>участника семинара самостоятельно смогут провести диагностику состояния слизистой оболочки полости рта</w:t>
      </w:r>
      <w:r>
        <w:rPr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Обычный (веб)"/>
        <w:spacing w:before="0" w:after="120"/>
        <w:ind w:left="1276" w:firstLine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/>
        <w:ind w:left="284" w:firstLine="0"/>
        <w:rPr>
          <w:b w:val="1"/>
          <w:bCs w:val="1"/>
          <w:color w:val="7030a0"/>
          <w:sz w:val="22"/>
          <w:szCs w:val="22"/>
          <w:u w:color="7030a0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с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08-30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до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16-00  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 перерывами на кофе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паузы и бизнес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ланч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left="284" w:firstLine="0"/>
        <w:rPr>
          <w:sz w:val="16"/>
          <w:szCs w:val="16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sz w:val="18"/>
          <w:szCs w:val="1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-19049</wp:posOffset>
            </wp:positionH>
            <wp:positionV relativeFrom="line">
              <wp:posOffset>84455</wp:posOffset>
            </wp:positionV>
            <wp:extent cx="654685" cy="65468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Стоимость в семинаре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8500 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руб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СТУДЕНТАМ –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2500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РУБЛЕЙ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ИНТЕРНАМ СКИДКА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50%,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ОРДИНАТОРАМ – </w:t>
      </w:r>
      <w:r>
        <w:rPr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20%.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rtl w:val="0"/>
          <w:lang w:val="ru-RU"/>
        </w:rPr>
        <w:t>свидетельство по НМО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18"/>
          <w:szCs w:val="18"/>
          <w:u w:val="single" w:color="7030a0"/>
        </w:rPr>
      </w:pPr>
      <w:r>
        <w:rPr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Запись и дополнительная информация</w:t>
      </w:r>
      <w:r>
        <w:rPr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color w:val="7030a0"/>
          <w:sz w:val="18"/>
          <w:szCs w:val="18"/>
          <w:u w:color="7030a0"/>
        </w:rPr>
      </w:pPr>
      <w:r>
        <w:rPr>
          <w:sz w:val="18"/>
          <w:szCs w:val="18"/>
          <w:rtl w:val="0"/>
          <w:lang w:val="ru-RU"/>
        </w:rPr>
        <w:t xml:space="preserve">Директор УЦ «ПРОФЕССИОНАЛ» Светлана Олеговна Хапилина   </w:t>
      </w:r>
      <w:r>
        <w:rPr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+7 (921) 862-98-24</w:t>
      </w:r>
      <w:r>
        <w:rPr>
          <w:sz w:val="18"/>
          <w:szCs w:val="18"/>
          <w:lang w:val="ru-RU"/>
        </w:rPr>
        <w:drawing>
          <wp:inline distT="0" distB="0" distL="0" distR="0">
            <wp:extent cx="285084" cy="160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ru-RU"/>
        </w:rPr>
        <w:drawing>
          <wp:inline distT="0" distB="0" distL="0" distR="0">
            <wp:extent cx="162021" cy="1620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18"/>
          <w:rtl w:val="0"/>
          <w:lang w:val="ru-RU"/>
        </w:rPr>
        <w:t xml:space="preserve">    </w:t>
      </w:r>
      <w:r>
        <w:rPr>
          <w:color w:val="548dd4"/>
          <w:sz w:val="18"/>
          <w:szCs w:val="18"/>
          <w:u w:color="548dd4"/>
          <w:rtl w:val="0"/>
          <w:lang w:val="ru-RU"/>
        </w:rPr>
        <w:t xml:space="preserve"> 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begin" w:fldLock="0"/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xso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@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mail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Hyperlink.0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begin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instrText xml:space="preserve"> HYPERLINK "http://www.profistomat.ru"</w:instrTex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separate" w:fldLock="0"/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 xml:space="preserve">    |   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profistomat</w:t>
      </w:r>
      <w:r>
        <w:rPr>
          <w:rStyle w:val="Hyperlink.1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Нет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color w:val="7030a0"/>
          <w:sz w:val="18"/>
          <w:szCs w:val="18"/>
          <w:u w:color="7030a0"/>
          <w:rtl w:val="0"/>
          <w:lang w:val="ru-RU"/>
        </w:rPr>
        <w:t xml:space="preserve"> </w:t>
      </w:r>
    </w:p>
    <w:p>
      <w:pPr>
        <w:pStyle w:val="Обычный"/>
        <w:rPr>
          <w:rStyle w:val="Нет"/>
          <w:sz w:val="16"/>
          <w:szCs w:val="16"/>
        </w:rPr>
      </w:pPr>
      <w:r>
        <w:rPr>
          <w:rStyle w:val="Нет"/>
          <w:sz w:val="18"/>
          <w:szCs w:val="18"/>
          <w:rtl w:val="0"/>
          <w:lang w:val="ru-RU"/>
        </w:rPr>
        <w:t xml:space="preserve">                                  </w:t>
      </w:r>
    </w:p>
    <w:p>
      <w:pPr>
        <w:pStyle w:val="Обычный"/>
        <w:ind w:firstLine="1276"/>
        <w:jc w:val="center"/>
        <w:rPr>
          <w:rStyle w:val="Нет"/>
          <w:b w:val="1"/>
          <w:bCs w:val="1"/>
          <w:color w:val="7030a0"/>
          <w:sz w:val="18"/>
          <w:szCs w:val="18"/>
          <w:u w:color="7030a0"/>
        </w:rPr>
      </w:pP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Только для врачей 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(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входящих в обьединение  ГАУЗ АО АОКСП в г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. 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Архангельск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):</w:t>
      </w:r>
    </w:p>
    <w:p>
      <w:pPr>
        <w:pStyle w:val="Обычный"/>
        <w:ind w:firstLine="284"/>
        <w:jc w:val="center"/>
        <w:rPr>
          <w:rStyle w:val="Нет"/>
          <w:b w:val="1"/>
          <w:bCs w:val="1"/>
          <w:color w:val="7030a0"/>
          <w:sz w:val="18"/>
          <w:szCs w:val="18"/>
          <w:u w:color="7030a0"/>
        </w:rPr>
      </w:pPr>
      <w:r>
        <w:rPr>
          <w:rStyle w:val="Нет"/>
          <w:sz w:val="18"/>
          <w:szCs w:val="18"/>
          <w:rtl w:val="0"/>
          <w:lang w:val="ru-RU"/>
        </w:rPr>
        <w:t>Запись осуществляется через представителя  уч</w:t>
      </w:r>
      <w:r>
        <w:rPr>
          <w:rStyle w:val="Нет"/>
          <w:sz w:val="18"/>
          <w:szCs w:val="18"/>
          <w:rtl w:val="0"/>
          <w:lang w:val="ru-RU"/>
        </w:rPr>
        <w:t>/</w:t>
      </w:r>
      <w:r>
        <w:rPr>
          <w:rStyle w:val="Нет"/>
          <w:sz w:val="18"/>
          <w:szCs w:val="18"/>
          <w:rtl w:val="0"/>
          <w:lang w:val="ru-RU"/>
        </w:rPr>
        <w:t>ц «ПРОФЕССИОНАЛ» в Архангельске для врачей</w:t>
      </w:r>
      <w:r>
        <w:rPr>
          <w:rStyle w:val="Нет"/>
          <w:sz w:val="18"/>
          <w:szCs w:val="18"/>
          <w:rtl w:val="0"/>
          <w:lang w:val="ru-RU"/>
        </w:rPr>
        <w:t xml:space="preserve">- </w:t>
      </w:r>
      <w:r>
        <w:rPr>
          <w:rStyle w:val="Нет"/>
          <w:sz w:val="18"/>
          <w:szCs w:val="18"/>
          <w:rtl w:val="0"/>
          <w:lang w:val="ru-RU"/>
        </w:rPr>
        <w:t>стоматологов ГАУЗ АО АОКСП</w:t>
      </w:r>
    </w:p>
    <w:p>
      <w:pPr>
        <w:pStyle w:val="Обычный"/>
        <w:ind w:firstLine="284"/>
        <w:jc w:val="center"/>
        <w:rPr>
          <w:rStyle w:val="Нет"/>
          <w:b w:val="1"/>
          <w:bCs w:val="1"/>
          <w:color w:val="7030a0"/>
          <w:sz w:val="18"/>
          <w:szCs w:val="18"/>
          <w:u w:color="7030a0"/>
        </w:rPr>
      </w:pPr>
      <w:r>
        <w:rPr>
          <w:rStyle w:val="Нет"/>
          <w:sz w:val="18"/>
          <w:szCs w:val="18"/>
          <w:rtl w:val="0"/>
          <w:lang w:val="ru-RU"/>
        </w:rPr>
        <w:t xml:space="preserve"> -   </w:t>
      </w:r>
      <w:r>
        <w:rPr>
          <w:rStyle w:val="Нет"/>
          <w:sz w:val="18"/>
          <w:szCs w:val="18"/>
          <w:rtl w:val="0"/>
          <w:lang w:val="ru-RU"/>
        </w:rPr>
        <w:t xml:space="preserve">Хромцову Елену Петровну </w:t>
      </w:r>
      <w:r>
        <w:rPr>
          <w:rStyle w:val="Нет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+7921-675-85-05</w:t>
      </w:r>
    </w:p>
    <w:p>
      <w:pPr>
        <w:pStyle w:val="Обычный"/>
        <w:ind w:firstLine="1276"/>
        <w:jc w:val="center"/>
        <w:rPr>
          <w:rStyle w:val="Нет"/>
          <w:color w:val="7030a0"/>
          <w:sz w:val="18"/>
          <w:szCs w:val="18"/>
          <w:u w:color="7030a0"/>
        </w:rPr>
      </w:pPr>
      <w:r>
        <w:rPr>
          <w:rStyle w:val="Нет"/>
          <w:color w:val="7030a0"/>
          <w:sz w:val="18"/>
          <w:szCs w:val="18"/>
          <w:u w:color="7030a0"/>
          <w:rtl w:val="0"/>
          <w:lang w:val="ru-RU"/>
        </w:rPr>
        <w:t>М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ы в социальных сетях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center"/>
        <w:rPr>
          <w:rStyle w:val="Нет"/>
          <w:color w:val="0f243e"/>
          <w:sz w:val="16"/>
          <w:szCs w:val="16"/>
          <w:u w:color="0f243e"/>
          <w:rtl w:val="0"/>
          <w:lang w:val="ru-RU"/>
        </w:rPr>
      </w:pP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profistomat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95098" cy="190169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8" cy="190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190678" cy="19041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8" cy="190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</w:p>
    <w:p>
      <w:pPr>
        <w:pStyle w:val="Обычный"/>
        <w:ind w:left="284" w:firstLine="0"/>
        <w:jc w:val="center"/>
      </w:pP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>Форма оплаты</w:t>
      </w:r>
      <w:r>
        <w:rPr>
          <w:rStyle w:val="Нет"/>
          <w:b w:val="1"/>
          <w:bCs w:val="1"/>
          <w:color w:val="7030a0"/>
          <w:sz w:val="16"/>
          <w:szCs w:val="16"/>
          <w:u w:val="single" w:color="7030a0"/>
          <w:rtl w:val="0"/>
          <w:lang w:val="ru-RU"/>
        </w:rPr>
        <w:t xml:space="preserve">: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1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6"/>
          <w:szCs w:val="16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 </w:t>
      </w:r>
      <w:r>
        <w:rPr>
          <w:rStyle w:val="Нет"/>
          <w:b w:val="1"/>
          <w:bCs w:val="1"/>
          <w:i w:val="1"/>
          <w:iCs w:val="1"/>
          <w:sz w:val="16"/>
          <w:szCs w:val="16"/>
          <w:rtl w:val="0"/>
          <w:lang w:val="ru-RU"/>
        </w:rPr>
        <w:t>2.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Нет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Нет"/>
          <w:i w:val="1"/>
          <w:iCs w:val="1"/>
          <w:sz w:val="16"/>
          <w:szCs w:val="16"/>
          <w:rtl w:val="0"/>
          <w:lang w:val="ru-RU"/>
        </w:rPr>
        <w:t>.</w:t>
      </w:r>
    </w:p>
    <w:sectPr>
      <w:headerReference w:type="default" r:id="rId11"/>
      <w:footerReference w:type="default" r:id="rId12"/>
      <w:pgSz w:w="11900" w:h="16840" w:orient="portrait"/>
      <w:pgMar w:top="0" w:right="282" w:bottom="142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rebuchet MS" w:cs="Trebuchet MS" w:hAnsi="Trebuchet MS" w:eastAsia="Trebuchet MS"/>
      <w:b w:val="1"/>
      <w:bCs w:val="1"/>
      <w:color w:val="7030a0"/>
      <w:sz w:val="18"/>
      <w:szCs w:val="18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Trebuchet MS" w:cs="Trebuchet MS" w:hAnsi="Trebuchet MS" w:eastAsia="Trebuchet MS"/>
      <w:b w:val="1"/>
      <w:bCs w:val="1"/>
      <w:color w:val="7030a0"/>
      <w:sz w:val="18"/>
      <w:szCs w:val="18"/>
      <w:u w:val="none" w:color="7030a0"/>
      <w:lang w:val="ru-RU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color w:val="0000ff"/>
      <w:sz w:val="16"/>
      <w:szCs w:val="16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