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52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0"/>
        <w:gridCol w:w="5812"/>
      </w:tblGrid>
      <w:tr>
        <w:tblPrEx>
          <w:shd w:val="clear" w:color="auto" w:fill="ced7e7"/>
        </w:tblPrEx>
        <w:trPr>
          <w:trHeight w:val="1352" w:hRule="atLeast"/>
        </w:trPr>
        <w:tc>
          <w:tcPr>
            <w:tcW w:type="dxa" w:w="5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>!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 xml:space="preserve">Приглашаем Вас на семинар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 xml:space="preserve"> 30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>год в г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 xml:space="preserve">Архангельск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2"/>
                <w:szCs w:val="22"/>
                <w:u w:color="7030a0"/>
              </w:rPr>
            </w:r>
          </w:p>
        </w:tc>
        <w:tc>
          <w:tcPr>
            <w:tcW w:type="dxa" w:w="58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</w:rPr>
            </w:pPr>
            <w:r>
              <w:rPr>
                <w:rFonts w:ascii="Calibri" w:cs="Calibri" w:hAnsi="Calibri" w:eastAsia="Calibri"/>
                <w:b w:val="0"/>
                <w:bCs w:val="0"/>
                <w:color w:val="000000"/>
                <w:sz w:val="20"/>
                <w:szCs w:val="20"/>
                <w:u w:color="000000"/>
                <w:lang w:val="ru-RU"/>
              </w:rPr>
              <w:drawing>
                <wp:inline distT="0" distB="0" distL="0" distR="0">
                  <wp:extent cx="2095832" cy="69059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32" cy="6905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   Санкт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Петербург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" w:hanging="113"/>
      </w:pPr>
    </w:p>
    <w:p>
      <w:pPr>
        <w:pStyle w:val="Название"/>
        <w:rPr>
          <w:rFonts w:ascii="Calibri" w:cs="Calibri" w:hAnsi="Calibri" w:eastAsia="Calibri"/>
          <w:sz w:val="18"/>
          <w:szCs w:val="18"/>
          <w:u w:val="none"/>
        </w:rPr>
      </w:pPr>
    </w:p>
    <w:p>
      <w:pPr>
        <w:pStyle w:val="Название"/>
        <w:jc w:val="both"/>
        <w:rPr>
          <w:rFonts w:ascii="Calibri" w:cs="Calibri" w:hAnsi="Calibri" w:eastAsia="Calibri"/>
          <w:color w:val="7030a0"/>
          <w:sz w:val="24"/>
          <w:szCs w:val="24"/>
          <w:u w:val="none" w:color="7030a0"/>
        </w:rPr>
      </w:pPr>
      <w:r>
        <w:rPr>
          <w:rFonts w:ascii="Calibri" w:cs="Calibri" w:hAnsi="Calibri" w:eastAsia="Calibri"/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50800</wp:posOffset>
            </wp:positionV>
            <wp:extent cx="952500" cy="11423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ÐÐ°Ð»ÑÐ´Ð¸Ð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aldin100.jpeg" descr="ÐÐ°Ð»ÑÐ´Ð¸Ð½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2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Автор и ведущий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: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Кальдин Константин</w:t>
      </w:r>
    </w:p>
    <w:p>
      <w:pPr>
        <w:pStyle w:val="Название"/>
        <w:jc w:val="both"/>
        <w:rPr>
          <w:rFonts w:ascii="Calibri" w:cs="Calibri" w:hAnsi="Calibri" w:eastAsia="Calibri"/>
          <w:color w:val="7030a0"/>
          <w:sz w:val="24"/>
          <w:szCs w:val="24"/>
          <w:u w:val="none" w:color="7030a0"/>
        </w:rPr>
      </w:pP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Консультант по управлению медицинскими учреждениями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Управляющий партнер ООО «Кальдин Консалтинг»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г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Москва</w:t>
      </w:r>
    </w:p>
    <w:p>
      <w:pPr>
        <w:pStyle w:val="Заголовок 1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u w:val="single"/>
          <w:rtl w:val="0"/>
        </w:rPr>
        <w:t>Информация о ведущем</w:t>
      </w:r>
      <w:r>
        <w:rPr>
          <w:rFonts w:ascii="Calibri" w:cs="Calibri" w:hAnsi="Calibri" w:eastAsia="Calibri"/>
          <w:sz w:val="18"/>
          <w:szCs w:val="18"/>
          <w:rtl w:val="0"/>
        </w:rPr>
        <w:t>: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Образование – МГУ им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Ломоносова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Профессиональный консультант по управлению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года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специализации – эффективное управление медицинскими предприятиями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добровольное медицинское страхование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ДМС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эффективных медицинских концепций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Большой опыт проектной работы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разработано и внедрено большое количество эффективных бизнес решений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12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лет реального управления медицинскими учреждениями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2003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года работа консалтинговой компании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DMG 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и внедрение модели управления эффективностью ЛПУ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в том числе с помощью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IT-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решений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Реализовал более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проектов по России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2003-2009.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заместитель Генерального директора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George Dental Group.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Руководство следующими внутренними проектами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реструктуризация и автоматизация бизнес процессов компании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выход компании на рынок ДМС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системы привлечения и удержания клиентуры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Осуществление оперативного руководства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2005-2009.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руководитель проекта «Медицинские центры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George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 Приморском крае»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концепции сети поликлиник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руководство проектами поликлиник в Уссурийске и Владивостоке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2009-2011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г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Работа в крупных сетевых медицинских проектах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«Медси»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 другие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2010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2014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Независимый директор группы медицинских компаний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George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George Dental Group 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Приморский край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2011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году основал собственную консалтинговую компанию ООО «Кальдин Консалтинг»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"http://www.kaldin.ru"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www.kaldin.ru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)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2009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года – активная преподавательская деятельность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Является штатным лектором компаний ЦНТИ Прогресс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медицинский МБА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 МИРЭА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Проводил семинары в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46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городах России и СНГ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Астана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Алматы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Санкт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Петербург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Киев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Днепропетровск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Бишкек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Казань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Ростов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Дону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Краснодар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Самара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Красноярск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Иркутск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Кемерово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Хабаровск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Владивосток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Челябинск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Екатеринбург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Пермь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Новосибирск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Нижний Новгород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Воронеж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Тюмень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Киров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Улан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Удэ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Пятигорск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Кисловодск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Ессентуки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Уфа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Юрмала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Сургут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Минск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Харьков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Сочи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Омск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Оренбург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Ставрополь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Ташкент  и другие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20"/>
          <w:szCs w:val="20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Всего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46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городов России и СНГ по состоянию на июнь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2019.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В Архангельске семинар ВПЕРВЫЕ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.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Семинар</w:t>
      </w:r>
    </w:p>
    <w:p>
      <w:pPr>
        <w:pStyle w:val="Название"/>
        <w:spacing w:before="120" w:after="120"/>
        <w:rPr>
          <w:rStyle w:val="Нет"/>
          <w:rFonts w:ascii="Calibri" w:cs="Calibri" w:hAnsi="Calibri" w:eastAsia="Calibri"/>
          <w:color w:val="7030a0"/>
          <w:u w:val="none" w:color="7030a0"/>
        </w:rPr>
      </w:pPr>
      <w:r>
        <w:rPr>
          <w:rStyle w:val="Нет"/>
          <w:rFonts w:ascii="Calibri" w:cs="Calibri" w:hAnsi="Calibri" w:eastAsia="Calibri"/>
          <w:color w:val="7030a0"/>
          <w:u w:val="none" w:color="7030a0"/>
          <w:rtl w:val="0"/>
          <w:lang w:val="ru-RU"/>
        </w:rPr>
        <w:t>«Точки роста клиники</w:t>
      </w:r>
      <w:r>
        <w:rPr>
          <w:rStyle w:val="Нет"/>
          <w:rFonts w:ascii="Calibri" w:cs="Calibri" w:hAnsi="Calibri" w:eastAsia="Calibri"/>
          <w:color w:val="7030a0"/>
          <w:u w:val="none" w:color="7030a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7030a0"/>
          <w:u w:val="none" w:color="7030a0"/>
          <w:rtl w:val="0"/>
          <w:lang w:val="ru-RU"/>
        </w:rPr>
        <w:t>или хватит кормить конкурентов»</w:t>
      </w:r>
    </w:p>
    <w:p>
      <w:pPr>
        <w:pStyle w:val="Название"/>
        <w:spacing w:before="120" w:after="120"/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</w:rPr>
      </w:pPr>
      <w:r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Уникальный авторский курс Константина Кальдина</w:t>
      </w:r>
      <w:r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Программа создана специально для Архангельска</w:t>
      </w:r>
    </w:p>
    <w:p>
      <w:pPr>
        <w:pStyle w:val="Название"/>
        <w:spacing w:before="120" w:after="120"/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</w:rPr>
      </w:pPr>
      <w:r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Около </w:t>
      </w:r>
      <w:r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20 </w:t>
      </w:r>
      <w:r>
        <w:rPr>
          <w:rStyle w:val="Нет"/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практических медицинских кейсов</w:t>
      </w:r>
    </w:p>
    <w:p>
      <w:pPr>
        <w:pStyle w:val="Название"/>
        <w:jc w:val="right"/>
        <w:rPr>
          <w:rStyle w:val="Нет"/>
          <w:rFonts w:ascii="Calibri" w:cs="Calibri" w:hAnsi="Calibri" w:eastAsia="Calibri"/>
          <w:sz w:val="20"/>
          <w:szCs w:val="20"/>
          <w:u w:val="none"/>
        </w:rPr>
      </w:pPr>
      <w:r>
        <w:rPr>
          <w:rStyle w:val="Нет"/>
          <w:rFonts w:ascii="Calibri" w:cs="Calibri" w:hAnsi="Calibri" w:eastAsia="Calibri"/>
          <w:sz w:val="20"/>
          <w:szCs w:val="20"/>
          <w:u w:val="none"/>
          <w:rtl w:val="0"/>
          <w:lang w:val="ru-RU"/>
        </w:rPr>
        <w:t xml:space="preserve">1 </w:t>
      </w:r>
      <w:r>
        <w:rPr>
          <w:rStyle w:val="Нет"/>
          <w:rFonts w:ascii="Calibri" w:cs="Calibri" w:hAnsi="Calibri" w:eastAsia="Calibri"/>
          <w:sz w:val="20"/>
          <w:szCs w:val="20"/>
          <w:u w:val="none"/>
          <w:rtl w:val="0"/>
          <w:lang w:val="ru-RU"/>
        </w:rPr>
        <w:t>день</w:t>
      </w:r>
      <w:r>
        <w:rPr>
          <w:rStyle w:val="Нет"/>
          <w:rFonts w:ascii="Calibri" w:cs="Calibri" w:hAnsi="Calibri" w:eastAsia="Calibri"/>
          <w:sz w:val="20"/>
          <w:szCs w:val="20"/>
          <w:u w:val="none"/>
          <w:rtl w:val="0"/>
          <w:lang w:val="ru-RU"/>
        </w:rPr>
        <w:t xml:space="preserve">, 8 </w:t>
      </w:r>
      <w:r>
        <w:rPr>
          <w:rStyle w:val="Нет"/>
          <w:rFonts w:ascii="Calibri" w:cs="Calibri" w:hAnsi="Calibri" w:eastAsia="Calibri"/>
          <w:sz w:val="20"/>
          <w:szCs w:val="20"/>
          <w:u w:val="none"/>
          <w:rtl w:val="0"/>
          <w:lang w:val="ru-RU"/>
        </w:rPr>
        <w:t>академических часов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На кого ориентирован курс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ru-RU"/>
        </w:rPr>
        <w:t>Собственников клиник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ru-RU"/>
        </w:rPr>
        <w:t>Директоров медицинских клиник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ru-RU"/>
        </w:rPr>
        <w:t>Инвесторов и врачей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ru-RU"/>
        </w:rPr>
        <w:t>планирующих открыть собственные клиники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20"/>
          <w:szCs w:val="20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Краткое описание курса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20"/>
          <w:szCs w:val="20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Практический опыт управления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собранный и систематизированный автором за многолетнюю профессиональную карьеру в медицинском бизнесе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На семинаре будут даны критерии эффективного руководителя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а также детально разобраны процессы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процессы расчета потенциала и поиска точек роста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В результате все участники семинара приобретут эффективные инструменты для увеличения финансовых и производственных показателей клиники в краткосрочной и долгосрочной перспективе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Обычный"/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На курсе нет никаких продаж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!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Мы отвечаем на любой вопрос слушателя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!</w:t>
      </w: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ПРОГРАММА СЕМИНАРА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Обычный"/>
        <w:spacing w:before="120" w:after="120"/>
        <w:jc w:val="center"/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ДОКАЗАТЕЛЬНЫЕ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МАТЕМАТИЧЕСКИЕ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ТОЧКИ РОСТА КЛИНИКИ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Если Вы не видите точки роста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то это подарок для Вашего конкурента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Ищите точки роста и стройте бюджет через потенциал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В этом случае вы минимизируете потери клиники в будущем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а не будете копаться в прошлом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«Точки роста клиники без дополнительных денежных вложений»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Как правильно их искать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?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Формула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в которой заключены все точки роста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Абсолютно объективные и условно объективные показатели работы клиники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Как рассчитать потенциал клиники по выручке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Эффективность использования мощности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Прайс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лист клиники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практика применения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управление стоимостью часа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Все виды ценообразования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Точки роста по загрузке врачей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оценка эффективности привлечения пациентов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оценка эффективности удержания пациентов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Как клиники кормят конкурентов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Как добиться роста в период кризиса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(3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главных проблемы многих ЛПУ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)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Разбор реальных кейсов лечебных учреждений по поиску точек роста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before="120" w:after="120"/>
        <w:ind w:right="0"/>
        <w:jc w:val="both"/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Ответы на любые вопросы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20"/>
          <w:szCs w:val="20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Режим работы с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10.00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19.00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часов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ind w:firstLine="425"/>
        <w:jc w:val="right"/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Стоимость  семинара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: 12 500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</w:t>
      </w:r>
      <w:r>
        <w:rPr>
          <w:rStyle w:val="Нет"/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 </w:t>
      </w:r>
    </w:p>
    <w:p>
      <w:pPr>
        <w:pStyle w:val="Обычный"/>
        <w:ind w:firstLine="567"/>
        <w:jc w:val="right"/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Выдается именной сертификат ООО «ПРОФЕССИОНАЛ»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</w:p>
    <w:p>
      <w:pPr>
        <w:pStyle w:val="Обычный"/>
        <w:jc w:val="right"/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В стоимость входят кофе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пауза и бизнес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ланч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вода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чай и кофе – не ограничено на весь период семинара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блокнот и ручка для записей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). 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регистрация участников семинара только в первый день с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09-00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10-00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 ,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начало в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10-00.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20"/>
          <w:szCs w:val="20"/>
          <w:shd w:val="clear" w:color="auto" w:fill="ffffff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продолжительность семинара каждый день с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10.00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19.00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часов </w:t>
      </w:r>
    </w:p>
    <w:p>
      <w:pPr>
        <w:pStyle w:val="Обычный"/>
        <w:tabs>
          <w:tab w:val="left" w:pos="7545"/>
        </w:tabs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tabs>
          <w:tab w:val="left" w:pos="7545"/>
        </w:tabs>
        <w:rPr>
          <w:rStyle w:val="Нет"/>
          <w:rFonts w:ascii="Calibri" w:cs="Calibri" w:hAnsi="Calibri" w:eastAsia="Calibri"/>
          <w:b w:val="1"/>
          <w:bCs w:val="1"/>
          <w:color w:val="00137f"/>
          <w:u w:color="00137f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tabs>
          <w:tab w:val="left" w:pos="7455"/>
        </w:tabs>
        <w:ind w:firstLine="425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Предварительная регистрация участников обязательна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!</w:t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Запись и дополнительная информация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16"/>
          <w:szCs w:val="16"/>
          <w:u w:val="single" w:color="7030a0"/>
        </w:rPr>
      </w:pPr>
    </w:p>
    <w:p>
      <w:pPr>
        <w:pStyle w:val="Обычный"/>
        <w:tabs>
          <w:tab w:val="left" w:pos="7455"/>
        </w:tabs>
        <w:ind w:firstLine="425"/>
        <w:rPr>
          <w:rStyle w:val="Нет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Для участия в семинаре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пожалуйста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позвоните или отправьте заявку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указав ФИО полностью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название организации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моб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номер и  форму оплаты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firstLine="425"/>
        <w:jc w:val="both"/>
        <w:rPr>
          <w:rStyle w:val="Нет"/>
          <w:rFonts w:ascii="Calibri" w:cs="Calibri" w:hAnsi="Calibri" w:eastAsia="Calibri"/>
          <w:sz w:val="22"/>
          <w:szCs w:val="22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Директор УЦ «ПРОФЕССИОНАЛ» Светлана Олеговна Хапилина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+7 (921) 862-98-24</w:t>
      </w:r>
      <w:r>
        <w:rPr>
          <w:rStyle w:val="Нет"/>
          <w:rFonts w:ascii="Calibri" w:cs="Calibri" w:hAnsi="Calibri" w:eastAsia="Calibri"/>
          <w:sz w:val="22"/>
          <w:szCs w:val="22"/>
        </w:rPr>
        <w:drawing>
          <wp:inline distT="0" distB="0" distL="0" distR="0">
            <wp:extent cx="285084" cy="16002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</w:rPr>
        <w:drawing>
          <wp:inline distT="0" distB="0" distL="0" distR="0">
            <wp:extent cx="162021" cy="162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  <w:rtl w:val="0"/>
          <w:lang w:val="ru-RU"/>
        </w:rPr>
        <w:t xml:space="preserve">  </w:t>
      </w:r>
    </w:p>
    <w:p>
      <w:pPr>
        <w:pStyle w:val="Обычный"/>
        <w:tabs>
          <w:tab w:val="left" w:pos="7455"/>
        </w:tabs>
        <w:spacing w:before="120" w:after="120"/>
        <w:ind w:firstLine="425"/>
        <w:jc w:val="center"/>
        <w:rPr>
          <w:rStyle w:val="Нет"/>
          <w:rFonts w:ascii="Calibri" w:cs="Calibri" w:hAnsi="Calibri" w:eastAsia="Calibri"/>
          <w:color w:val="7030a0"/>
          <w:sz w:val="22"/>
          <w:szCs w:val="22"/>
          <w:u w:color="7030a0"/>
        </w:rPr>
      </w:pP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ru-RU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 xml:space="preserve">    |  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profistomat</w: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ru</w:t>
      </w:r>
      <w:r>
        <w:rPr/>
        <w:fldChar w:fldCharType="end" w:fldLock="0"/>
      </w:r>
    </w:p>
    <w:p>
      <w:pPr>
        <w:pStyle w:val="Обычный"/>
        <w:spacing w:before="120" w:after="120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spacing w:before="120" w:after="120"/>
        <w:ind w:right="0"/>
        <w:jc w:val="center"/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</w:pP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rFonts w:ascii="Calibri" w:cs="Calibri" w:hAnsi="Calibri" w:eastAsia="Calibri"/>
          <w:color w:val="0f243e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   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ru-RU"/>
        </w:rPr>
        <w:t xml:space="preserve">      </w:t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rFonts w:ascii="Calibri" w:cs="Calibri" w:hAnsi="Calibri" w:eastAsia="Calibri"/>
          <w:color w:val="0f243e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    </w:t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rFonts w:ascii="Calibri" w:cs="Calibri" w:hAnsi="Calibri" w:eastAsia="Calibri"/>
          <w:color w:val="0f243e"/>
          <w:sz w:val="22"/>
          <w:szCs w:val="22"/>
        </w:rPr>
        <w:fldChar w:fldCharType="end" w:fldLock="0"/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</w:p>
    <w:p>
      <w:pPr>
        <w:pStyle w:val="Обычный"/>
        <w:tabs>
          <w:tab w:val="left" w:pos="7455"/>
        </w:tabs>
        <w:ind w:left="284" w:right="141" w:firstLine="0"/>
        <w:jc w:val="center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.</w:t>
      </w:r>
    </w:p>
    <w:sectPr>
      <w:headerReference w:type="default" r:id="rId10"/>
      <w:footerReference w:type="default" r:id="rId11"/>
      <w:pgSz w:w="11900" w:h="16840" w:orient="portrait"/>
      <w:pgMar w:top="284" w:right="567" w:bottom="567" w:left="425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5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3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6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color w:val="0000ff"/>
      <w:sz w:val="18"/>
      <w:szCs w:val="18"/>
      <w:u w:val="single" w:color="0000ff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ru-RU"/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Нет"/>
    <w:next w:val="Hyperlink.4"/>
    <w:rPr>
      <w:rFonts w:ascii="Calibri" w:cs="Calibri" w:hAnsi="Calibri" w:eastAsia="Calibri"/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