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8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62"/>
        <w:gridCol w:w="4285"/>
      </w:tblGrid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6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!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Приглашаем Вас на  семинары и авторские мастер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классы 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в марте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2019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в Новосибирске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</w:rPr>
            </w:r>
          </w:p>
        </w:tc>
        <w:tc>
          <w:tcPr>
            <w:tcW w:type="dxa" w:w="4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rPr/>
            </w:pPr>
            <w:r>
              <w:rPr>
                <w:rtl w:val="0"/>
              </w:rPr>
              <w:t xml:space="preserve">  </w:t>
            </w:r>
            <w:r>
              <w:rPr/>
              <w:drawing>
                <wp:inline distT="0" distB="0" distL="0" distR="0">
                  <wp:extent cx="1905000" cy="588010"/>
                  <wp:effectExtent l="0" t="0" r="0" b="0"/>
                  <wp:docPr id="1073741825" name="officeArt object" descr="C:\АРХИВ\АрхиВ\Лу\Рабочие\Стоматология\Фото,подписи,логотипы\лого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АРХИВ\АрхиВ\Лу\Рабочие\Стоматология\Фото,подписи,логотипы\лого_2.jpg" descr="C:\АРХИВ\АрхиВ\Лу\Рабочие\Стоматология\Фото,подписи,логотипы\лого_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880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</w:rPr>
              <w:t xml:space="preserve">     </w:t>
            </w:r>
          </w:p>
          <w:p>
            <w:pPr>
              <w:pStyle w:val="Normal.0"/>
              <w:tabs>
                <w:tab w:val="left" w:pos="915"/>
                <w:tab w:val="center" w:pos="208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</w:rPr>
              <w:t xml:space="preserve">           </w:t>
              <w:tab/>
              <w:t xml:space="preserve">   www.profistomat.ru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.0"/>
        <w:ind w:right="283" w:firstLine="567"/>
        <w:rPr>
          <w:rFonts w:ascii="Calibri" w:cs="Calibri" w:hAnsi="Calibri" w:eastAsia="Calibri"/>
          <w:color w:val="ff0000"/>
          <w:sz w:val="20"/>
          <w:szCs w:val="20"/>
          <w:u w:color="ff0000"/>
        </w:rPr>
      </w:pPr>
      <w:r>
        <w:drawing>
          <wp:inline distT="0" distB="0" distL="0" distR="0">
            <wp:extent cx="936676" cy="40277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76" cy="402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"http://www.e-stomatology.ru/star/plan/e1690"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Образовательное мероприятие</w:t>
      </w:r>
      <w:r>
        <w:rPr/>
        <w:fldChar w:fldCharType="end" w:fldLock="0"/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> соответствует требованиям для НМО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Слушатели получат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12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кредитов для специальностей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>(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>по выбору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):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>«Стоматология терапевтическая»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>«Детская стоматология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ff0000"/>
          <w:sz w:val="20"/>
          <w:szCs w:val="20"/>
          <w:u w:color="ff0000"/>
          <w:shd w:val="clear" w:color="auto" w:fill="f6f6f6"/>
          <w:rtl w:val="0"/>
          <w:lang w:val="ru-RU"/>
        </w:rPr>
        <w:t>«Стоматология общей практики»</w:t>
      </w:r>
    </w:p>
    <w:tbl>
      <w:tblPr>
        <w:tblW w:w="106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9"/>
        <w:gridCol w:w="9256"/>
      </w:tblGrid>
      <w:tr>
        <w:tblPrEx>
          <w:shd w:val="clear" w:color="auto" w:fill="ced7e7"/>
        </w:tblPrEx>
        <w:trPr>
          <w:trHeight w:val="4700" w:hRule="atLeast"/>
        </w:trPr>
        <w:tc>
          <w:tcPr>
            <w:tcW w:type="dxa" w:w="13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869511" cy="98808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511" cy="988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Normal.0"/>
              <w:suppressAutoHyphens w:val="1"/>
              <w:ind w:right="283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00137f"/>
                <w:sz w:val="28"/>
                <w:szCs w:val="28"/>
                <w:u w:color="00137f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00137f"/>
                <w:sz w:val="28"/>
                <w:szCs w:val="28"/>
                <w:u w:color="00137f"/>
                <w:rtl w:val="0"/>
                <w:lang w:val="ru-RU"/>
              </w:rPr>
              <w:t>курсы Михаила Соломонова</w:t>
            </w:r>
          </w:p>
          <w:p>
            <w:pPr>
              <w:pStyle w:val="Normal.0"/>
              <w:bidi w:val="0"/>
              <w:ind w:left="284" w:right="282" w:firstLine="0"/>
              <w:jc w:val="both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МИХАИЛ СОЛОМОНОВ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врач стоматолог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эндодонтист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Иерусалим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), DMD, Endodontist,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Директор постдипломной программы по эндодонтии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отделение эндодонтии госпиталя Шиба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Тель Хашомер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Выпускник стоматологической школы Тель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Авивского Университета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(1994).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Дипломированный специалист по эндодонтии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Иерусалимский Университет Хадасса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кафедра эндодонтии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2003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год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Преподаватель кафедры эндодонтии Иерусалимского Университета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2003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год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a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o 2010.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 Экзаменатор Израильского стоматологического Научного совета на получение звания дипломированного специалиста по эндодонтии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2009.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Международный редактор журнала «Эндодонтия»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2007.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Член Израильского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Европейского и Американского обществ эндодонтистов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Normal.0"/>
              <w:suppressAutoHyphens w:val="1"/>
              <w:ind w:right="283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00137f"/>
                <w:sz w:val="28"/>
                <w:szCs w:val="28"/>
                <w:u w:color="00137f"/>
                <w:lang w:val="ru-RU"/>
              </w:rPr>
            </w:pPr>
          </w:p>
          <w:p>
            <w:pPr>
              <w:pStyle w:val="date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002060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20-21 </w:t>
            </w: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Семинар по теме №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 xml:space="preserve">6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 xml:space="preserve">«Алгоритмы клинических процедур»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/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b w:val="0"/>
                <w:bCs w:val="0"/>
                <w:color w:val="002060"/>
                <w:sz w:val="20"/>
                <w:szCs w:val="20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Стоимость семинар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а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- 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</w:rPr>
              <w:t xml:space="preserve">25000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рублей</w:t>
            </w:r>
          </w:p>
          <w:p>
            <w:pPr>
              <w:pStyle w:val="date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ff000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22 </w:t>
            </w: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Авторский мастер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 xml:space="preserve">класс «Первичная эндодонтия»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/</w:t>
            </w: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 xml:space="preserve"> 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Стоимость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</w:rPr>
              <w:t>мастер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</w:rPr>
              <w:t>-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класса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 -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</w:rPr>
              <w:t xml:space="preserve">27000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>рублей</w:t>
            </w:r>
          </w:p>
          <w:p>
            <w:pPr>
              <w:pStyle w:val="date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002060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Семинар по теме №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 xml:space="preserve">8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«Эндодонтические аспекты в ортопедии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: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 что обязан знать ортопед и уметь делать эндодонтист»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6"/>
                <w:szCs w:val="16"/>
                <w:u w:color="7030a0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6"/>
                <w:szCs w:val="16"/>
                <w:u w:color="7030a0"/>
                <w:rtl w:val="0"/>
                <w:lang w:val="ru-RU"/>
              </w:rPr>
              <w:t>курс «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6"/>
                <w:szCs w:val="16"/>
                <w:u w:color="7030a0"/>
                <w:rtl w:val="0"/>
                <w:lang w:val="ru-RU"/>
              </w:rPr>
              <w:t>на стыке двух важнейших направлений современной стоматологии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6"/>
                <w:szCs w:val="16"/>
                <w:u w:color="7030a0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6"/>
                <w:szCs w:val="16"/>
                <w:u w:color="7030a0"/>
                <w:rtl w:val="0"/>
                <w:lang w:val="ru-RU"/>
              </w:rPr>
              <w:t>ортопедии и эндодонтии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6"/>
                <w:szCs w:val="16"/>
                <w:u w:color="7030a0"/>
                <w:rtl w:val="0"/>
                <w:lang w:val="ru-RU"/>
              </w:rPr>
              <w:t>»</w:t>
            </w: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 /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Стоимость семинар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а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- 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</w:rPr>
              <w:t xml:space="preserve">25000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рублей</w:t>
            </w: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</w:rPr>
            </w:r>
          </w:p>
        </w:tc>
      </w:tr>
      <w:tr>
        <w:tblPrEx>
          <w:shd w:val="clear" w:color="auto" w:fill="ced7e7"/>
        </w:tblPrEx>
        <w:trPr>
          <w:trHeight w:val="2480" w:hRule="atLeast"/>
        </w:trPr>
        <w:tc>
          <w:tcPr>
            <w:tcW w:type="dxa" w:w="1062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Normal (Web)"/>
              <w:suppressAutoHyphens w:val="1"/>
              <w:spacing w:before="0" w:after="0"/>
              <w:ind w:right="283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u w:color="ff0000"/>
                <w:rtl w:val="0"/>
                <w:lang w:val="ru-RU"/>
              </w:rPr>
              <w:t>Акция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u w:color="ff0000"/>
                <w:rtl w:val="0"/>
                <w:lang w:val="ru-RU"/>
              </w:rPr>
              <w:t>!</w:t>
            </w:r>
          </w:p>
          <w:p>
            <w:pPr>
              <w:pStyle w:val="Normal (Web)"/>
              <w:bidi w:val="0"/>
              <w:spacing w:before="0" w:after="0"/>
              <w:ind w:left="0" w:right="283" w:firstLine="0"/>
              <w:jc w:val="left"/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1.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При посещении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2-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х семинаров М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Соломонова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(20-21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марта и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марта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) 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 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 для Вас </w:t>
            </w:r>
            <w:r>
              <w:rPr>
                <w:rFonts w:ascii="Calibri" w:cs="Calibri" w:hAnsi="Calibri" w:eastAsia="Calibri"/>
                <w:b w:val="1"/>
                <w:bCs w:val="1"/>
                <w:color w:val="f82e00"/>
                <w:sz w:val="18"/>
                <w:szCs w:val="18"/>
                <w:u w:color="f82e00"/>
                <w:rtl w:val="0"/>
                <w:lang w:val="ru-RU"/>
              </w:rPr>
              <w:t xml:space="preserve">22 000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рублей</w:t>
              <w:br w:type="textWrapping"/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Если Вы были  на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классе в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2018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у  М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Соломонова в Новосибирске и идете на семинары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20-21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марта или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марта – стоимость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класса для Вас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20 000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 рублей</w:t>
              <w:br w:type="textWrapping"/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3.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Студентам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интернам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 -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скидка на семинары и на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50%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 (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всего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10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мест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)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lang w:val="ru-RU"/>
              </w:rPr>
              <w:br w:type="textWrapping"/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4.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Молодым специалистам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закончившим Мед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Вузы в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2017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скидка семинары и на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50%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 -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всего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10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мест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)</w:t>
            </w:r>
          </w:p>
          <w:p>
            <w:pPr>
              <w:pStyle w:val="Normal.0"/>
              <w:suppressAutoHyphens w:val="1"/>
              <w:bidi w:val="0"/>
              <w:ind w:left="0" w:right="283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5.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Доктора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которые посетили  мастер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классы 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2011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по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2015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гг  по первичной эндодонтии у Михаила в Новосибирске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скидкам на мастер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класс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50%</w:t>
            </w:r>
          </w:p>
          <w:p>
            <w:pPr>
              <w:pStyle w:val="Normal.0"/>
              <w:tabs>
                <w:tab w:val="left" w:pos="705"/>
              </w:tabs>
              <w:suppressAutoHyphens w:val="1"/>
              <w:bidi w:val="0"/>
              <w:ind w:left="0" w:right="283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6.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Докторам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участникам  курса 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Соломонова в марте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2019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.-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посещение семинара 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25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марта лекторов Тиуновой 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и Николаевой А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А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по теме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«Тактика врача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стоматолога при заболеваниях слизистой оболочки»  –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5000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вместо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9000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color w:val="ff0000"/>
          <w:sz w:val="20"/>
          <w:szCs w:val="20"/>
          <w:u w:color="ff0000"/>
        </w:rPr>
      </w:pPr>
    </w:p>
    <w:p>
      <w:pPr>
        <w:pStyle w:val="Normal.0"/>
        <w:ind w:left="284" w:right="282" w:firstLine="0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date"/>
        <w:shd w:val="clear" w:color="auto" w:fill="f6f6f6"/>
        <w:tabs>
          <w:tab w:val="center" w:pos="284"/>
          <w:tab w:val="left" w:pos="10125"/>
        </w:tabs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u w:color="7030a0"/>
        </w:rPr>
      </w:pPr>
      <w:r>
        <w:rPr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 xml:space="preserve">20-21 </w:t>
      </w:r>
      <w:r>
        <w:rPr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Семинар по теме №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 xml:space="preserve">6 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«Алгоритмы клинических процедур»</w:t>
      </w:r>
    </w:p>
    <w:p>
      <w:pPr>
        <w:pStyle w:val="date"/>
        <w:shd w:val="clear" w:color="auto" w:fill="f6f6f6"/>
        <w:tabs>
          <w:tab w:val="center" w:pos="284"/>
          <w:tab w:val="left" w:pos="10125"/>
        </w:tabs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u w:color="7030a0"/>
        </w:rPr>
      </w:pPr>
    </w:p>
    <w:p>
      <w:pPr>
        <w:pStyle w:val="Normal.0"/>
        <w:shd w:val="clear" w:color="auto" w:fill="ffffff"/>
        <w:ind w:left="284" w:firstLine="567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Семинар раскрывает все аспекты эндодонтической инфекции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обсуждаются различные клинические ситуации и микробиологическое приложение происходящих процессов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предлагается алгоритм действий в каждом конкретном клиническом случае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Normal.0"/>
        <w:shd w:val="clear" w:color="auto" w:fill="ffffff"/>
        <w:ind w:left="284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Программа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2-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х дневного  семинара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Характеристики эндодонтической инфекции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Первичная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вторичная и персистирующая инфекции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Инфицирование основного канала и дентинных трубочек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3.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Механическая и медикаментозная обработка канала и ее влияние на инфекцию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4.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Выживаемость «запечатанных» микроорганизмов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5.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Типы инфекции и клинические решения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6.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Биопленка и ее роль в эндодонтических инфекциях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7.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Новейшие направления в эндодонтической дезинфекции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Комбинированные ирригации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• Новые ирриганты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• Методики агитации</w:t>
      </w:r>
      <w:r>
        <w:rPr>
          <w:sz w:val="18"/>
          <w:szCs w:val="18"/>
          <w:rtl w:val="0"/>
          <w:lang w:val="ru-RU"/>
        </w:rPr>
        <w:t xml:space="preserve">(PUI, PIPS, Sonic); </w:t>
      </w:r>
      <w:r>
        <w:rPr>
          <w:sz w:val="18"/>
          <w:szCs w:val="18"/>
          <w:rtl w:val="0"/>
          <w:lang w:val="ru-RU"/>
        </w:rPr>
        <w:t>• Использование озона</w:t>
      </w:r>
      <w:r>
        <w:rPr>
          <w:sz w:val="18"/>
          <w:szCs w:val="1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Использование электро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химической активации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• Прямая лазерная дезинфекция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• Фотоактивируемая дезинфекция</w:t>
      </w:r>
      <w:r>
        <w:rPr>
          <w:sz w:val="18"/>
          <w:szCs w:val="18"/>
          <w:rtl w:val="0"/>
          <w:lang w:val="ru-RU"/>
        </w:rPr>
        <w:t>. (PAD, PDT);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 xml:space="preserve">Макромолекулы и Наночастицы </w:t>
      </w:r>
      <w:r>
        <w:rPr>
          <w:sz w:val="18"/>
          <w:szCs w:val="18"/>
          <w:rtl w:val="0"/>
          <w:lang w:val="ru-RU"/>
        </w:rPr>
        <w:t>(Chitozan, Ag, QuaternaryAmmoniumPolyethylenimine, BioSafe)</w:t>
      </w:r>
    </w:p>
    <w:p>
      <w:pPr>
        <w:pStyle w:val="Normal.0"/>
        <w:tabs>
          <w:tab w:val="left" w:pos="567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8.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Лечение в одно или несколько посещений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Экономический прессинг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микробиологическое и анатомическое обоснование и клиническая реальность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Боль и прогноз</w:t>
      </w:r>
    </w:p>
    <w:p>
      <w:pPr>
        <w:pStyle w:val="Normal.0"/>
        <w:shd w:val="clear" w:color="auto" w:fill="ffffff"/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9.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Авторский алгоритм лечения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18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подгрупп базирующийся на диагнозе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микробиологической оценке клинической ситуации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анатомии и возрасте пациента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Инструментация канала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• Выбор ирригантов</w:t>
      </w:r>
      <w:r>
        <w:rPr>
          <w:sz w:val="18"/>
          <w:szCs w:val="18"/>
          <w:rtl w:val="0"/>
          <w:lang w:val="ru-RU"/>
        </w:rPr>
        <w:t xml:space="preserve">; </w:t>
      </w:r>
      <w:r>
        <w:rPr>
          <w:sz w:val="18"/>
          <w:szCs w:val="18"/>
          <w:rtl w:val="0"/>
          <w:lang w:val="ru-RU"/>
        </w:rPr>
        <w:t>•Внутриканальные вложения</w:t>
      </w:r>
      <w:r>
        <w:rPr>
          <w:sz w:val="18"/>
          <w:szCs w:val="18"/>
          <w:rtl w:val="0"/>
          <w:lang w:val="ru-RU"/>
        </w:rPr>
        <w:t xml:space="preserve">( </w:t>
      </w:r>
      <w:r>
        <w:rPr>
          <w:sz w:val="18"/>
          <w:szCs w:val="18"/>
          <w:rtl w:val="0"/>
          <w:lang w:val="ru-RU"/>
        </w:rPr>
        <w:t>при необходимости использования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Биологические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практические и юридические аспекты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обзор мировой литературы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клинические классификации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факторы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влияющие на принятие решения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семинара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25000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рублей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стоимость входит кофе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пауза и бизнес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ланч</w:t>
        <w:br w:type="textWrapping"/>
        <w:t xml:space="preserve">Выдается именной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Сертификат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каждому участнику с указанием учебных часов </w:t>
      </w:r>
    </w:p>
    <w:p>
      <w:pPr>
        <w:pStyle w:val="Normal.0"/>
        <w:tabs>
          <w:tab w:val="left" w:pos="7545"/>
        </w:tabs>
        <w:ind w:left="28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отель Новосибирск Марриотт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Новосибирск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  Ул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Орджоникидзе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31,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конференц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зал</w:t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регистрация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9-30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10-00,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семинар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10-00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18-00 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  перерывами на кофе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паузу и бизнес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ланч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).</w:t>
      </w:r>
    </w:p>
    <w:p>
      <w:pPr>
        <w:pStyle w:val="Normal (Web)"/>
        <w:spacing w:before="0" w:after="0"/>
        <w:ind w:left="284" w:firstLine="0"/>
        <w:rPr>
          <w:rStyle w:val="Strong"/>
        </w:rPr>
      </w:pP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Обратите внимание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:</w:t>
      </w:r>
      <w:r>
        <w:rPr>
          <w:b w:val="1"/>
          <w:bCs w:val="1"/>
          <w:sz w:val="18"/>
          <w:szCs w:val="18"/>
          <w:u w:val="single"/>
          <w:rtl w:val="0"/>
          <w:lang w:val="ru-RU"/>
        </w:rPr>
        <w:t> </w:t>
      </w:r>
      <w:r>
        <w:rPr>
          <w:b w:val="1"/>
          <w:bCs w:val="1"/>
          <w:sz w:val="18"/>
          <w:szCs w:val="18"/>
          <w:rtl w:val="0"/>
          <w:lang w:val="ru-RU"/>
        </w:rPr>
        <w:t xml:space="preserve"> Время начала семинара </w:t>
      </w:r>
      <w:r>
        <w:rPr>
          <w:b w:val="1"/>
          <w:bCs w:val="1"/>
          <w:sz w:val="18"/>
          <w:szCs w:val="18"/>
          <w:rtl w:val="0"/>
          <w:lang w:val="ru-RU"/>
        </w:rPr>
        <w:t xml:space="preserve">20 </w:t>
      </w:r>
      <w:r>
        <w:rPr>
          <w:b w:val="1"/>
          <w:bCs w:val="1"/>
          <w:sz w:val="18"/>
          <w:szCs w:val="18"/>
          <w:rtl w:val="0"/>
          <w:lang w:val="ru-RU"/>
        </w:rPr>
        <w:t xml:space="preserve">марта может быть сдвинуто на </w:t>
      </w:r>
      <w:r>
        <w:rPr>
          <w:b w:val="1"/>
          <w:bCs w:val="1"/>
          <w:sz w:val="18"/>
          <w:szCs w:val="18"/>
          <w:rtl w:val="0"/>
          <w:lang w:val="ru-RU"/>
        </w:rPr>
        <w:t xml:space="preserve">2 </w:t>
      </w:r>
      <w:r>
        <w:rPr>
          <w:b w:val="1"/>
          <w:bCs w:val="1"/>
          <w:sz w:val="18"/>
          <w:szCs w:val="18"/>
          <w:rtl w:val="0"/>
          <w:lang w:val="ru-RU"/>
        </w:rPr>
        <w:t>часа вперед</w:t>
      </w:r>
      <w:r>
        <w:rPr>
          <w:b w:val="1"/>
          <w:bCs w:val="1"/>
          <w:sz w:val="18"/>
          <w:szCs w:val="18"/>
          <w:rtl w:val="0"/>
          <w:lang w:val="ru-RU"/>
        </w:rPr>
        <w:t xml:space="preserve">! </w:t>
      </w:r>
      <w:r>
        <w:rPr>
          <w:b w:val="1"/>
          <w:bCs w:val="1"/>
          <w:sz w:val="18"/>
          <w:szCs w:val="18"/>
          <w:rtl w:val="0"/>
          <w:lang w:val="ru-RU"/>
        </w:rPr>
        <w:t>О времени начала будет сообщено дополнительно</w:t>
      </w:r>
      <w:r>
        <w:rPr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284" w:firstLine="0"/>
        <w:jc w:val="center"/>
        <w:rPr>
          <w:rFonts w:ascii="Calibri" w:cs="Calibri" w:hAnsi="Calibri" w:eastAsia="Calibri"/>
          <w:b w:val="1"/>
          <w:bCs w:val="1"/>
          <w:color w:val="0070c0"/>
          <w:u w:val="single" w:color="0070c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f243e"/>
          <w:u w:color="0f243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5983605</wp:posOffset>
            </wp:positionH>
            <wp:positionV relativeFrom="line">
              <wp:posOffset>31750</wp:posOffset>
            </wp:positionV>
            <wp:extent cx="932181" cy="9321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1" cy="932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:</w:t>
      </w:r>
    </w:p>
    <w:p>
      <w:pPr>
        <w:pStyle w:val="Normal.0"/>
        <w:tabs>
          <w:tab w:val="left" w:pos="7455"/>
        </w:tabs>
        <w:ind w:left="284" w:firstLine="0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Директор УЦ «ПРОФЕССИОНАЛ» Светлана Олеговна Хапилина </w:t>
      </w:r>
      <w:r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+7 (921) 862-98-24</w:t>
      </w:r>
      <w:r>
        <w:rPr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283210" cy="163196"/>
            <wp:effectExtent l="0" t="0" r="0" b="0"/>
            <wp:docPr id="1073741829" name="officeArt object" descr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9" descr="Рисунок 9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63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163196" cy="163196"/>
            <wp:effectExtent l="0" t="0" r="0" b="0"/>
            <wp:docPr id="1073741830" name="officeArt object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6" cy="163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   </w:t>
      </w:r>
      <w:r>
        <w:rPr>
          <w:rFonts w:ascii="Calibri" w:cs="Calibri" w:hAnsi="Calibri" w:eastAsia="Calibri"/>
          <w:color w:val="548dd4"/>
          <w:sz w:val="22"/>
          <w:szCs w:val="22"/>
          <w:u w:color="548dd4"/>
          <w:rtl w:val="0"/>
          <w:lang w:val="ru-RU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fr-FR"/>
        </w:rPr>
        <w:t>xso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fr-FR"/>
        </w:rPr>
        <w:t>mail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ru-RU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 xml:space="preserve">    |   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profistomat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ru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       </w:t>
      </w:r>
    </w:p>
    <w:p>
      <w:pPr>
        <w:pStyle w:val="Normal.0"/>
        <w:ind w:left="284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Мы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соц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сетях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:</w:t>
      </w:r>
    </w:p>
    <w:p>
      <w:pPr>
        <w:pStyle w:val="Normal.0"/>
        <w:ind w:left="284" w:firstLine="0"/>
        <w:jc w:val="center"/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</w:rPr>
      </w:pPr>
      <w:r>
        <w:rPr>
          <w:rFonts w:ascii="Calibri" w:cs="Calibri" w:hAnsi="Calibri" w:eastAsia="Calibri"/>
          <w:color w:val="0f243e"/>
          <w:sz w:val="28"/>
          <w:szCs w:val="28"/>
          <w:u w:color="0f243e"/>
          <w:rtl w:val="0"/>
          <w:lang w:val="ru-RU"/>
        </w:rPr>
        <w:t xml:space="preserve">  </w:t>
      </w:r>
      <w:r>
        <w:rPr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94005" cy="217805"/>
            <wp:effectExtent l="0" t="0" r="0" b="0"/>
            <wp:docPr id="1073741831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ru-RU"/>
        </w:rPr>
        <w:t xml:space="preserve"> </w: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profistomat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60985" cy="239396"/>
            <wp:effectExtent l="0" t="0" r="0" b="0"/>
            <wp:docPr id="1073741832" name="officeArt object" descr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239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48616" cy="348616"/>
            <wp:effectExtent l="0" t="0" r="0" b="0"/>
            <wp:docPr id="1073741833" name="officeArt object" descr="инстаграм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инстаграмм" descr="инстаграмм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6" cy="348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 </w:t>
      </w:r>
    </w:p>
    <w:p>
      <w:pPr>
        <w:pStyle w:val="Normal.0"/>
        <w:tabs>
          <w:tab w:val="left" w:pos="7455"/>
        </w:tabs>
        <w:jc w:val="center"/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</w:rPr>
      </w:pP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en-US"/>
        </w:rPr>
        <w:t xml:space="preserve">                         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Форма оплаты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:</w:t>
      </w:r>
    </w:p>
    <w:p>
      <w:pPr>
        <w:pStyle w:val="Normal.0"/>
        <w:tabs>
          <w:tab w:val="left" w:pos="7455"/>
        </w:tabs>
        <w:ind w:left="284" w:right="141" w:firstLine="0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rFonts w:ascii="Calibri" w:cs="Calibri" w:hAnsi="Calibri" w:eastAsia="Calibri"/>
          <w:sz w:val="18"/>
          <w:szCs w:val="18"/>
          <w:lang w:val="fr-FR"/>
        </w:rPr>
        <w:fldChar w:fldCharType="begin" w:fldLock="0"/>
      </w:r>
      <w:r>
        <w:rPr>
          <w:rStyle w:val="Hyperlink.4"/>
          <w:rFonts w:ascii="Calibri" w:cs="Calibri" w:hAnsi="Calibri" w:eastAsia="Calibri"/>
          <w:sz w:val="18"/>
          <w:szCs w:val="18"/>
          <w:lang w:val="fr-FR"/>
        </w:rPr>
        <w:instrText xml:space="preserve"> HYPERLINK "mailto:xso@mail.ru"</w:instrText>
      </w:r>
      <w:r>
        <w:rPr>
          <w:rStyle w:val="Hyperlink.4"/>
          <w:rFonts w:ascii="Calibri" w:cs="Calibri" w:hAnsi="Calibri" w:eastAsia="Calibri"/>
          <w:sz w:val="18"/>
          <w:szCs w:val="18"/>
          <w:lang w:val="fr-FR"/>
        </w:rPr>
        <w:fldChar w:fldCharType="separate" w:fldLock="0"/>
      </w:r>
      <w:r>
        <w:rPr>
          <w:rStyle w:val="Hyperlink.4"/>
          <w:rFonts w:ascii="Calibri" w:cs="Calibri" w:hAnsi="Calibri" w:eastAsia="Calibri"/>
          <w:sz w:val="18"/>
          <w:szCs w:val="18"/>
          <w:rtl w:val="0"/>
          <w:lang w:val="fr-FR"/>
        </w:rPr>
        <w:t>xso</w:t>
      </w:r>
      <w:r>
        <w:rPr>
          <w:rStyle w:val="Ссылка"/>
          <w:rFonts w:ascii="Calibri" w:cs="Calibri" w:hAnsi="Calibri" w:eastAsia="Calibri"/>
          <w:sz w:val="18"/>
          <w:szCs w:val="18"/>
          <w:rtl w:val="0"/>
          <w:lang w:val="ru-RU"/>
        </w:rPr>
        <w:t>@</w:t>
      </w:r>
      <w:r>
        <w:rPr>
          <w:rStyle w:val="Hyperlink.4"/>
          <w:rFonts w:ascii="Calibri" w:cs="Calibri" w:hAnsi="Calibri" w:eastAsia="Calibri"/>
          <w:sz w:val="18"/>
          <w:szCs w:val="18"/>
          <w:rtl w:val="0"/>
          <w:lang w:val="fr-FR"/>
        </w:rPr>
        <w:t>mail</w:t>
      </w:r>
      <w:r>
        <w:rPr>
          <w:rStyle w:val="Ссылка"/>
          <w:rFonts w:ascii="Calibri" w:cs="Calibri" w:hAnsi="Calibri" w:eastAsia="Calibri"/>
          <w:sz w:val="18"/>
          <w:szCs w:val="18"/>
          <w:rtl w:val="0"/>
          <w:lang w:val="ru-RU"/>
        </w:rPr>
        <w:t>.</w:t>
      </w:r>
      <w:r>
        <w:rPr>
          <w:rStyle w:val="Hyperlink.4"/>
          <w:rFonts w:ascii="Calibri" w:cs="Calibri" w:hAnsi="Calibri" w:eastAsia="Calibri"/>
          <w:sz w:val="18"/>
          <w:szCs w:val="18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</w:p>
    <w:p>
      <w:pPr>
        <w:pStyle w:val="Normal.0"/>
        <w:tabs>
          <w:tab w:val="left" w:pos="7455"/>
        </w:tabs>
        <w:ind w:left="284" w:right="141" w:firstLine="0"/>
        <w:rPr>
          <w:rStyle w:val="Нет"/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455"/>
        </w:tabs>
        <w:ind w:left="284" w:right="141" w:firstLine="0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.0"/>
        <w:tabs>
          <w:tab w:val="left" w:pos="7455"/>
        </w:tabs>
        <w:ind w:left="284" w:right="141" w:firstLine="0"/>
        <w:jc w:val="center"/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В дни прохождения курсов будет продаваться литература по терапевтической стоматологии</w:t>
      </w:r>
    </w:p>
    <w:sectPr>
      <w:headerReference w:type="default" r:id="rId13"/>
      <w:footerReference w:type="default" r:id="rId14"/>
      <w:pgSz w:w="11900" w:h="16840" w:orient="portrait"/>
      <w:pgMar w:top="567" w:right="424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567"/>
        </w:tabs>
        <w:ind w:left="284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004" w:hanging="1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007"/>
        </w:tabs>
        <w:ind w:left="1724" w:hanging="1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2444" w:hanging="10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3447"/>
        </w:tabs>
        <w:ind w:left="3164" w:hanging="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167"/>
        </w:tabs>
        <w:ind w:left="3884" w:hanging="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4887"/>
        </w:tabs>
        <w:ind w:left="4604" w:hanging="6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5607"/>
        </w:tabs>
        <w:ind w:left="5324" w:hanging="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327"/>
        </w:tabs>
        <w:ind w:left="6044" w:hanging="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Calibri" w:cs="Calibri" w:hAnsi="Calibri" w:eastAsia="Calibri"/>
      <w:color w:val="ff0000"/>
      <w:sz w:val="20"/>
      <w:szCs w:val="20"/>
      <w:u w:val="none" w:color="ff0000"/>
      <w:shd w:val="clear" w:color="auto" w:fill="f6f6f6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ate">
    <w:name w:val="date"/>
    <w:next w:val="da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Strong">
    <w:name w:val="Strong"/>
    <w:rPr>
      <w:rFonts w:ascii="Times New Roman" w:cs="Times New Roman" w:hAnsi="Times New Roman" w:eastAsia="Times New Roman"/>
      <w:b w:val="1"/>
      <w:bCs w:val="1"/>
    </w:rPr>
  </w:style>
  <w:style w:type="character" w:styleId="Hyperlink.1">
    <w:name w:val="Hyperlink.1"/>
    <w:basedOn w:val="Ссылка"/>
    <w:next w:val="Hyperlink.1"/>
    <w:rPr>
      <w:rFonts w:ascii="Calibri" w:cs="Calibri" w:hAnsi="Calibri" w:eastAsia="Calibri"/>
      <w:b w:val="1"/>
      <w:bCs w:val="1"/>
      <w:color w:val="0070c0"/>
      <w:sz w:val="22"/>
      <w:szCs w:val="22"/>
      <w:u w:color="0070c0"/>
      <w:lang w:val="fr-FR"/>
    </w:rPr>
  </w:style>
  <w:style w:type="character" w:styleId="Hyperlink.2">
    <w:name w:val="Hyperlink.2"/>
    <w:basedOn w:val="Ссылка"/>
    <w:next w:val="Hyperlink.2"/>
    <w:rPr>
      <w:rFonts w:ascii="Calibri" w:cs="Calibri" w:hAnsi="Calibri" w:eastAsia="Calibri"/>
      <w:b w:val="1"/>
      <w:bCs w:val="1"/>
      <w:color w:val="0070c0"/>
      <w:sz w:val="22"/>
      <w:szCs w:val="22"/>
      <w:u w:color="0070c0"/>
      <w:lang w:val="ru-RU"/>
    </w:rPr>
  </w:style>
  <w:style w:type="character" w:styleId="Нет">
    <w:name w:val="Нет"/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color w:val="0f243e"/>
      <w:sz w:val="18"/>
      <w:szCs w:val="18"/>
      <w:u w:color="0f243e"/>
      <w:lang w:val="en-US"/>
    </w:rPr>
  </w:style>
  <w:style w:type="character" w:styleId="Hyperlink.4">
    <w:name w:val="Hyperlink.4"/>
    <w:basedOn w:val="Ссылка"/>
    <w:next w:val="Hyperlink.4"/>
    <w:rPr>
      <w:rFonts w:ascii="Calibri" w:cs="Calibri" w:hAnsi="Calibri" w:eastAsia="Calibri"/>
      <w:sz w:val="18"/>
      <w:szCs w:val="18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1.t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