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9"/>
        <w:gridCol w:w="3203"/>
      </w:tblGrid>
      <w:tr>
        <w:tblPrEx>
          <w:shd w:val="clear" w:color="auto" w:fill="ced7e7"/>
        </w:tblPrEx>
        <w:trPr>
          <w:trHeight w:val="1996" w:hRule="atLeast"/>
        </w:trPr>
        <w:tc>
          <w:tcPr>
            <w:tcW w:type="dxa" w:w="7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ab/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Уважаемые доктора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стоматологи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Приглашаем Вас на  семинары 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в ноябре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года </w:t>
            </w:r>
          </w:p>
          <w:p>
            <w:pPr>
              <w:pStyle w:val="Обычный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город Волгоград</w:t>
              <w:tab/>
            </w:r>
            <w:r>
              <w:rPr>
                <w:rFonts w:ascii="Calibri" w:cs="Calibri" w:hAnsi="Calibri" w:eastAsia="Calibri"/>
                <w:b w:val="1"/>
                <w:bCs w:val="1"/>
                <w:lang w:val="ru-RU"/>
              </w:rPr>
            </w:r>
          </w:p>
        </w:tc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lang w:val="ru-RU"/>
              </w:rPr>
              <w:drawing>
                <wp:inline distT="0" distB="0" distL="0" distR="0">
                  <wp:extent cx="2033835" cy="67016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35" cy="6701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|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"http://profistomat.ru"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pt-PT"/>
              </w:rPr>
              <w:t>profistomat.ru</w:t>
            </w:r>
            <w:r>
              <w:rPr/>
              <w:fldChar w:fldCharType="end" w:fldLock="0"/>
            </w:r>
            <w:r>
              <w:rPr>
                <w:b w:val="1"/>
                <w:bCs w:val="1"/>
                <w:lang w:val="ru-RU"/>
              </w:rPr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2218a8"/>
          <w:sz w:val="28"/>
          <w:szCs w:val="28"/>
          <w:u w:color="2218a8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shd w:val="clear" w:color="auto" w:fill="ffffff"/>
          <w:rtl w:val="0"/>
          <w:lang w:val="ru-RU"/>
        </w:rPr>
        <w:t xml:space="preserve">16 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shd w:val="clear" w:color="auto" w:fill="ffffff"/>
          <w:rtl w:val="0"/>
          <w:lang w:val="ru-RU"/>
        </w:rPr>
        <w:t>ноября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 2019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года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Семинар «Тактика врача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стоматолога при заболеваниях слизистой оболочки рта»</w:t>
      </w:r>
    </w:p>
    <w:p>
      <w:pPr>
        <w:pStyle w:val="Обычный"/>
        <w:jc w:val="center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line">
              <wp:posOffset>153034</wp:posOffset>
            </wp:positionV>
            <wp:extent cx="1343025" cy="18192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Наталья\Downloads\фот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Наталья\Downloads\фото.PNG" descr="C:\Users\Наталья\Downloads\фото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19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Лектор Тиунова Наталья Викторовна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Нижний Новгород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2004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окончила Нижегородскую государственную медицинскую академию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Присуждена квалификация ВРАЧ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 по специальности «Стоматология»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2005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интернатуру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2007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клиническую ординатуру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 терапевтическая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2009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защитила кандидатскую диссертацию на тему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Оптимизация комплексного лечения красного плоского лишая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2011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ГБОУ ВПО НижГМА Минздравсоцразвития России 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Экспертиза временной нетрудоспособности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Медико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социальная экспертиза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2013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Центре ПСВиСПО ГОУ ВПО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Нижегородский государственный педагогический университет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Педагогика и психология высшей школы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2013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окончила ФГКОУ ВПО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Нижегородская академия Министерства внутренних дел Российской Федерации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Присуждена квалификация ЮРИСТ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Юриспруденция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секции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Стоматология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XVI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Российского национального конгресса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Человек и лекарство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14-18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2008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г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(3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секции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IX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юбилейной научной сессии НижГМА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Современное решение актуальных научных проблем в медицине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Новгород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18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марта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Современные аспекты медицины и фармации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- 2010"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13-14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в секции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64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международной конференции молодых ученых и студентов «Актуальные проблемы современной медицины»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Киев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3-4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Медицина и фармация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XXI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столетия – шаг в будущее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19-20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2012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Лучший молодой преподаватель НижГМА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- 2012"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Моя инициатива в образовании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- 2015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» в номинации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Лучший инновационный проект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IV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Всероссийского чемпионата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 зубов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27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сентября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2015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Заслуженный работник науки и образования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(2015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Область научных интересов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микроинвазивная 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эндодонтия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заболевания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pacing w:before="0" w:after="0" w:line="330" w:lineRule="atLeast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Строение слизистой оболочки рта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первичные и вторичные элементы поражения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Травматические поражения слизистой оболочки рта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Предраковые заболевания слизистой оболочки рта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Поражение слизистой оболочки рта при дерматозах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акантолитическая пузырчатка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пемфигоид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красный плоский лишай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Алгоритм действий врача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стоматолога при инфекционных заболеваниях слизистой оболочки рта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герпетическом стоматите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кандидозе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сифилисе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туберкулезе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ВИЧ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инфекции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аллергических поражениях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хронический рецидивирующий афтозный стоматит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многоформная экссудативная эритема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Стивенса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Джонсона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Лайелла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слизистой оболочки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языка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заболеваниях внутренних органов и систем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желудочно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кишечного тракта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сердечно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сосудистой и эндокринной системы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заболеваниях крови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гиповитаминозах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Во время семинара проводится видеодемонстрация клинических случаев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демонстрация работы с лампой АФС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left="284" w:firstLine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Все участники получат образцы написания историй болезни и схемы лечения при заболеваниях слизистой оболочки рта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ind w:left="284" w:firstLine="0"/>
        <w:rPr>
          <w:b w:val="1"/>
          <w:bCs w:val="1"/>
          <w:color w:val="7030a0"/>
          <w:sz w:val="16"/>
          <w:szCs w:val="16"/>
          <w:u w:color="7030a0"/>
        </w:rPr>
      </w:pPr>
    </w:p>
    <w:p>
      <w:pPr>
        <w:pStyle w:val="Обычный"/>
        <w:tabs>
          <w:tab w:val="left" w:pos="7545"/>
        </w:tabs>
        <w:ind w:left="284" w:firstLine="0"/>
        <w:rPr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</w:rPr>
      </w:pPr>
      <w:r>
        <w:rPr>
          <w:rFonts w:ascii="Calibri" w:cs="Calibri" w:hAnsi="Calibri" w:eastAsia="Calibri"/>
          <w:b w:val="1"/>
          <w:bCs w:val="1"/>
          <w:color w:val="ff00ff"/>
          <w:sz w:val="22"/>
          <w:szCs w:val="22"/>
          <w:u w:color="ff00ff"/>
          <w:rtl w:val="0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Стоимость в семинаре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8500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>руб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shd w:val="clear" w:color="auto" w:fill="ffff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  <w:rtl w:val="0"/>
          <w:lang w:val="ru-RU"/>
        </w:rPr>
        <w:t xml:space="preserve">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>СТУДЕНТАМ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ИНТЕРНАМ СКИДКА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50%,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ОРДИНАТОРАМ –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>20%.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00"/>
          <w:rtl w:val="0"/>
          <w:lang w:val="ru-RU"/>
        </w:rPr>
        <w:t>свидетельство по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16"/>
          <w:szCs w:val="16"/>
          <w:u w:color="00137f"/>
        </w:rPr>
      </w:pP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color w:val="0070c0"/>
          <w:sz w:val="16"/>
          <w:szCs w:val="16"/>
          <w:u w:val="single" w:color="0070c0"/>
        </w:rPr>
      </w:pP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В дни проведения семинаров будет осуществляться продажа литературы по стоматологии</w:t>
      </w: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b w:val="1"/>
          <w:bCs w:val="1"/>
          <w:color w:val="0070c0"/>
          <w:sz w:val="16"/>
          <w:szCs w:val="16"/>
          <w:u w:val="single" w:color="0070c0"/>
        </w:rPr>
      </w:pPr>
    </w:p>
    <w:p>
      <w:pPr>
        <w:pStyle w:val="Обычный"/>
        <w:ind w:left="284" w:firstLine="0"/>
        <w:jc w:val="center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en-US"/>
        </w:rPr>
        <w:t>+7 (921) 862-98-24</w:t>
      </w:r>
      <w:r>
        <w:rPr>
          <w:sz w:val="22"/>
          <w:szCs w:val="22"/>
          <w:lang w:val="ru-RU"/>
        </w:rPr>
        <w:drawing>
          <wp:inline distT="0" distB="0" distL="0" distR="0">
            <wp:extent cx="285084" cy="16002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u-RU"/>
        </w:rPr>
        <w:drawing>
          <wp:inline distT="0" distB="0" distL="0" distR="0">
            <wp:extent cx="162021" cy="162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color w:val="548dd4"/>
          <w:sz w:val="22"/>
          <w:szCs w:val="22"/>
          <w:u w:color="548dd4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2"/>
          <w:szCs w:val="22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  <w:lang w:val="en-US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6015989</wp:posOffset>
            </wp:positionH>
            <wp:positionV relativeFrom="line">
              <wp:posOffset>120649</wp:posOffset>
            </wp:positionV>
            <wp:extent cx="1125856" cy="11258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6" cy="112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center"/>
        <w:rPr>
          <w:color w:val="0f243e"/>
          <w:sz w:val="22"/>
          <w:szCs w:val="22"/>
          <w:rtl w:val="0"/>
          <w:lang w:val="ru-RU"/>
        </w:rPr>
      </w:pP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profistomat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8"/>
          <w:szCs w:val="18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8"/>
          <w:szCs w:val="18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16"/>
          <w:szCs w:val="16"/>
          <w:u w:val="none" w:color="7030a0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bookmarkStart w:name="_PictureBullets" w:id="0"/>
    </w:p>
    <w:sectPr>
      <w:headerReference w:type="default" r:id="rId11"/>
      <w:footerReference w:type="default" r:id="rId12"/>
      <w:pgSz w:w="11900" w:h="16840" w:orient="portrait"/>
      <w:pgMar w:top="0" w:right="424" w:bottom="709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fr-FR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en-US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3">
    <w:name w:val="Hyperlink.3"/>
    <w:basedOn w:val="Нет"/>
    <w:next w:val="Hyperlink.3"/>
    <w:rPr>
      <w:u w:color="0f243e"/>
      <w:lang w:val="en-US"/>
    </w:rPr>
  </w:style>
  <w:style w:type="character" w:styleId="Hyperlink.4">
    <w:name w:val="Hyperlink.4"/>
    <w:basedOn w:val="Нет"/>
    <w:next w:val="Hyperlink.4"/>
    <w:rPr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