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lang w:val="ru-RU"/>
              </w:rPr>
              <w:tab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семинар Натальи Тиуновой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jc w:val="center"/>
              <w:rPr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  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Калининград</w:t>
              <w:tab/>
            </w:r>
          </w:p>
          <w:p>
            <w:pPr>
              <w:pStyle w:val="Обычный (веб)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  <w:r>
              <w:rPr>
                <w:lang w:val="ru-RU"/>
              </w:rPr>
              <w:drawing>
                <wp:inline distT="0" distB="0" distL="0" distR="0">
                  <wp:extent cx="2033835" cy="6701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5" cy="670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Петербург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"http://profistomat.ru"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ru-RU"/>
              </w:rPr>
              <w:t>profistomat.ru</w:t>
            </w:r>
            <w:r>
              <w:rPr/>
              <w:fldChar w:fldCharType="end" w:fldLock="0"/>
            </w: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Заявки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</w:t>
      </w:r>
    </w:p>
    <w:p>
      <w:pPr>
        <w:pStyle w:val="Обычный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2218a8"/>
          <w:sz w:val="28"/>
          <w:szCs w:val="28"/>
          <w:u w:color="2218a8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ноября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года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«Тактика врача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стоматолога при заболеваниях слизистой оболочки рта»</w:t>
      </w:r>
    </w:p>
    <w:p>
      <w:pPr>
        <w:pStyle w:val="Обычный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153035</wp:posOffset>
            </wp:positionV>
            <wp:extent cx="1343025" cy="1819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Наталья\Downloads\фото.PN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Присуждена квалификация ВРАЧ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 по специальности «Стоматология»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2009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Экспертиза временной нетрудоспособности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Медико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социальная экспертиза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Педагогика и психология высшей школы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окончила ФГКОУ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Юриспруденция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Стоматология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XVI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Человек и лекарство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14-18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г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IX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юбилейной научной сессии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Новгород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- 2010"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13-14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64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Киев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3-4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Медицина и фармация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XXI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столетия – шаг в будущее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19-20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- 2012"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Моя инициатива в образовании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- 2015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» в номинации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Лучший инновационный проект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IV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Всероссийского чемпионата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 зубов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27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Область научных интересов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микроинвазивная 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эндодонтия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заболевания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Строение слизистой оболочки рта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первичные и вторичные элементы поражения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Травматические поражения слизистой оболочки рта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Поражение слизистой оболочки рта при дерматозах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акантолитическая пузырчатка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пемфигоид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красный плоский лишай</w:t>
      </w:r>
      <w:r>
        <w:rPr>
          <w:sz w:val="18"/>
          <w:szCs w:val="18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Алгоритм действий врача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герпетическом стоматите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кандидозе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сифилисе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туберкулезе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ВИЧ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инфекции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хронический рецидивирующий афтозный стоматит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многоформная экссудативная эритема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синдром Стивенса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Джонсона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синдром Лайелла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Заболевания слизистой оболочки и красной каймы губ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Заболевания языка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желудочно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кишечного тракта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сердечно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сосудистой и эндокринной системы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заболеваниях крови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гиповитаминозах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 (веб)"/>
        <w:spacing w:before="0" w:after="0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демонстрация работы с лампой АФС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ind w:left="284" w:firstLine="0"/>
        <w:rPr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клиника Центродент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конф зал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Калужская </w:t>
      </w:r>
      <w:r>
        <w:rPr>
          <w:sz w:val="20"/>
          <w:szCs w:val="20"/>
          <w:rtl w:val="0"/>
          <w:lang w:val="ru-RU"/>
        </w:rPr>
        <w:t>30-38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ind w:left="284" w:firstLine="0"/>
        <w:rPr>
          <w:sz w:val="16"/>
          <w:szCs w:val="16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8500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u w:val="single" w:color="0070c0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sz w:val="16"/>
          <w:szCs w:val="16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5582920</wp:posOffset>
            </wp:positionH>
            <wp:positionV relativeFrom="line">
              <wp:posOffset>111760</wp:posOffset>
            </wp:positionV>
            <wp:extent cx="1508125" cy="1508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8"/>
          <w:szCs w:val="28"/>
          <w:u w:val="single" w:color="7030a0"/>
        </w:rPr>
      </w:pP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1"/>
      <w:footerReference w:type="default" r:id="rId12"/>
      <w:pgSz w:w="11900" w:h="16840" w:orient="portrait"/>
      <w:pgMar w:top="568" w:right="424" w:bottom="568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