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0801"/>
      </w:tblGrid>
      <w:tr>
        <w:tblPrEx>
          <w:shd w:val="clear" w:color="auto" w:fill="ced7e7"/>
        </w:tblPrEx>
        <w:trPr>
          <w:trHeight w:val="6181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kern w:val="36"/>
                <w:sz w:val="18"/>
                <w:szCs w:val="18"/>
                <w:lang w:val="ru-RU"/>
              </w:rPr>
            </w:r>
          </w:p>
        </w:tc>
        <w:tc>
          <w:tcPr>
            <w:tcW w:type="dxa" w:w="1080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rFonts w:ascii="Calibri" w:cs="Calibri" w:hAnsi="Calibri" w:eastAsia="Calibri"/>
                <w:sz w:val="12"/>
                <w:szCs w:val="12"/>
                <w:lang w:val="ru-RU"/>
              </w:rPr>
            </w:pPr>
          </w:p>
          <w:p>
            <w:pPr>
              <w:pStyle w:val="Обычный"/>
              <w:spacing w:after="120"/>
              <w:jc w:val="center"/>
              <w:rPr>
                <w:rFonts w:ascii="Calibri" w:cs="Calibri" w:hAnsi="Calibri" w:eastAsia="Calibri"/>
                <w:b w:val="1"/>
                <w:bCs w:val="1"/>
                <w:strike w:val="1"/>
                <w:dstrike w:val="0"/>
                <w:sz w:val="12"/>
                <w:szCs w:val="12"/>
              </w:rPr>
            </w:pPr>
            <w:r>
              <w:rPr>
                <w:rFonts w:ascii="Calibri" w:cs="Calibri" w:hAnsi="Calibri" w:eastAsia="Calibri"/>
              </w:rPr>
              <w:drawing>
                <wp:inline distT="0" distB="0" distL="0" distR="0">
                  <wp:extent cx="1382411" cy="102600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11" cy="10260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spacing w:after="120"/>
              <w:jc w:val="center"/>
              <w:rPr>
                <w:rFonts w:ascii="Calibri" w:cs="Calibri" w:hAnsi="Calibri" w:eastAsia="Calibri"/>
                <w:b w:val="1"/>
                <w:bCs w:val="1"/>
                <w:strike w:val="1"/>
                <w:dstrike w:val="0"/>
                <w:sz w:val="12"/>
                <w:szCs w:val="12"/>
              </w:rPr>
            </w:pPr>
            <w:r>
              <w:rPr>
                <w:rFonts w:ascii="Calibri" w:cs="Calibri" w:hAnsi="Calibri" w:eastAsia="Calibri"/>
                <w:b w:val="1"/>
                <w:bCs w:val="1"/>
                <w:strike w:val="1"/>
                <w:dstrike w:val="0"/>
                <w:sz w:val="12"/>
                <w:szCs w:val="12"/>
              </w:rPr>
              <w:tab/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УВАЖАЕМЫЙ ДОКТОР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Приглашаем Вас</w:t>
            </w:r>
          </w:p>
          <w:p>
            <w:pPr>
              <w:pStyle w:val="Заголовок 1"/>
              <w:spacing w:before="0" w:after="0"/>
              <w:jc w:val="center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на  СЕМИНАР и </w:t>
            </w:r>
          </w:p>
          <w:p>
            <w:pPr>
              <w:pStyle w:val="Заголовок 1"/>
              <w:spacing w:before="0" w:after="0"/>
              <w:jc w:val="center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ru-RU"/>
              </w:rPr>
              <w:t>АВТОРСКИЙ  МАСТЕР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ru-RU"/>
              </w:rPr>
              <w:t>КЛАСС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12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октября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2018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в 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Волгограде</w:t>
              <w:tab/>
            </w:r>
            <w:r>
              <w:rPr>
                <w:rFonts w:ascii="Calibri" w:cs="Calibri" w:hAnsi="Calibri" w:eastAsia="Calibri"/>
              </w:rPr>
              <w:drawing>
                <wp:inline distT="0" distB="0" distL="0" distR="0">
                  <wp:extent cx="1104032" cy="96448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032" cy="9644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Учебный центр «ПРОФЕССИОНАЛ»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Петерубрг</w:t>
            </w:r>
          </w:p>
          <w:p>
            <w:pPr>
              <w:pStyle w:val="Обычный"/>
              <w:tabs>
                <w:tab w:val="left" w:pos="3753"/>
              </w:tabs>
              <w:jc w:val="center"/>
              <w:rPr>
                <w:rFonts w:ascii="Calibri" w:cs="Calibri" w:hAnsi="Calibri" w:eastAsia="Calibri"/>
                <w:b w:val="1"/>
                <w:bCs w:val="1"/>
                <w:vertAlign w:val="subscript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vertAlign w:val="subscript"/>
                <w:rtl w:val="0"/>
                <w:lang w:val="en-US"/>
              </w:rPr>
              <w:t>www</w:t>
            </w:r>
            <w:r>
              <w:rPr>
                <w:rFonts w:ascii="Calibri" w:cs="Calibri" w:hAnsi="Calibri" w:eastAsia="Calibri"/>
                <w:b w:val="1"/>
                <w:bCs w:val="1"/>
                <w:vertAlign w:val="subscript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vertAlign w:val="subscript"/>
                <w:rtl w:val="0"/>
                <w:lang w:val="en-US"/>
              </w:rPr>
              <w:t>profistomat</w:t>
            </w:r>
            <w:r>
              <w:rPr>
                <w:rFonts w:ascii="Calibri" w:cs="Calibri" w:hAnsi="Calibri" w:eastAsia="Calibri"/>
                <w:b w:val="1"/>
                <w:bCs w:val="1"/>
                <w:vertAlign w:val="subscript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vertAlign w:val="subscript"/>
                <w:rtl w:val="0"/>
                <w:lang w:val="en-US"/>
              </w:rPr>
              <w:t>ru</w:t>
            </w:r>
          </w:p>
        </w:tc>
      </w:tr>
    </w:tbl>
    <w:p>
      <w:pPr>
        <w:pStyle w:val="Обычный"/>
        <w:ind w:right="34" w:firstLine="567"/>
        <w:jc w:val="both"/>
        <w:rPr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Согласно правилам анонсирования Учебных Мероприятий при поддержке СтАР 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- 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для информационной рассылки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семинары и мастер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-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класс имеет статус на январь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2018 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г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.:</w:t>
      </w:r>
      <w:bookmarkStart w:name="OLE_LINK6" w:id="0"/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 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 и ДПО</w:t>
      </w:r>
      <w:r>
        <w:rPr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.</w:t>
      </w:r>
    </w:p>
    <w:p>
      <w:pPr>
        <w:pStyle w:val="Обычный"/>
        <w:ind w:left="426" w:right="282" w:firstLine="425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-24764</wp:posOffset>
            </wp:positionH>
            <wp:positionV relativeFrom="line">
              <wp:posOffset>241299</wp:posOffset>
            </wp:positionV>
            <wp:extent cx="1550670" cy="196342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lyachin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63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142" w:right="142" w:firstLine="0"/>
        <w:rPr>
          <w:rFonts w:ascii="Calibri" w:cs="Calibri" w:hAnsi="Calibri" w:eastAsia="Calibri"/>
        </w:rPr>
      </w:pPr>
      <w:bookmarkEnd w:id="0"/>
      <w:r>
        <w:rPr>
          <w:rFonts w:ascii="Calibri" w:cs="Calibri" w:hAnsi="Calibri" w:eastAsia="Calibri"/>
          <w:b w:val="1"/>
          <w:bCs w:val="1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Болячин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Алексей Вячеславович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г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Москва</w:t>
      </w:r>
      <w:r>
        <w:rPr>
          <w:rFonts w:ascii="Calibri" w:cs="Calibri" w:hAnsi="Calibri" w:eastAsia="Calibri"/>
          <w:rtl w:val="0"/>
          <w:lang w:val="ru-RU"/>
        </w:rPr>
        <w:t>)</w:t>
      </w:r>
    </w:p>
    <w:p>
      <w:pPr>
        <w:pStyle w:val="Обычный"/>
        <w:ind w:left="425" w:right="28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Кандидат медицинских наук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</w:t>
      </w:r>
    </w:p>
    <w:p>
      <w:pPr>
        <w:pStyle w:val="Обычный"/>
        <w:ind w:left="425" w:right="28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Член  Российской эндодонтической ассоциации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Международной и Американской эндодонтических ассоциаций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Европейской Ассоциации Дентальной Микроскопии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  </w:t>
      </w:r>
    </w:p>
    <w:p>
      <w:pPr>
        <w:pStyle w:val="Обычный"/>
        <w:ind w:left="425" w:right="28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Председатель эндодонтической секции СТАР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  <w:r>
        <w:rPr>
          <w:rFonts w:ascii="Calibri" w:cs="Calibri" w:hAnsi="Calibri" w:eastAsia="Calibri"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2096769</wp:posOffset>
                </wp:positionH>
                <wp:positionV relativeFrom="line">
                  <wp:posOffset>250825</wp:posOffset>
                </wp:positionV>
                <wp:extent cx="1123951" cy="58102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1" cy="581026"/>
                          <a:chOff x="0" y="0"/>
                          <a:chExt cx="1123950" cy="5810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123951" cy="581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5400"/>
                                </a:moveTo>
                                <a:lnTo>
                                  <a:pt x="7200" y="5400"/>
                                </a:lnTo>
                                <a:lnTo>
                                  <a:pt x="10800" y="0"/>
                                </a:lnTo>
                                <a:lnTo>
                                  <a:pt x="14400" y="5400"/>
                                </a:lnTo>
                                <a:lnTo>
                                  <a:pt x="21600" y="5400"/>
                                </a:lnTo>
                                <a:lnTo>
                                  <a:pt x="18000" y="10800"/>
                                </a:lnTo>
                                <a:lnTo>
                                  <a:pt x="21600" y="16200"/>
                                </a:lnTo>
                                <a:lnTo>
                                  <a:pt x="14400" y="16200"/>
                                </a:lnTo>
                                <a:lnTo>
                                  <a:pt x="10800" y="21600"/>
                                </a:lnTo>
                                <a:lnTo>
                                  <a:pt x="7200" y="16200"/>
                                </a:lnTo>
                                <a:lnTo>
                                  <a:pt x="0" y="16200"/>
                                </a:lnTo>
                                <a:lnTo>
                                  <a:pt x="3600" y="108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63500" dist="20000" dir="540000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jc w:val="center"/>
                                <w:rPr>
                                  <w:b w:val="1"/>
                                  <w:bCs w:val="1"/>
                                  <w:color w:val="fafbfd"/>
                                  <w:spacing w:val="10"/>
                                  <w:sz w:val="14"/>
                                  <w:szCs w:val="14"/>
                                  <w:u w:color="fafbfd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Обычный"/>
                                <w:jc w:val="center"/>
                                <w:rPr>
                                  <w:b w:val="1"/>
                                  <w:bCs w:val="1"/>
                                  <w:color w:val="fafbfd"/>
                                  <w:spacing w:val="10"/>
                                  <w:sz w:val="14"/>
                                  <w:szCs w:val="14"/>
                                  <w:u w:color="fafbfd"/>
                                  <w:lang w:val="en-US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color w:val="fafbfd"/>
                                  <w:spacing w:val="10"/>
                                  <w:sz w:val="14"/>
                                  <w:szCs w:val="14"/>
                                  <w:u w:color="fafbfd"/>
                                  <w:rtl w:val="0"/>
                                  <w:lang w:val="en-US"/>
                                </w:rPr>
                                <w:t>NEW program</w:t>
                              </w:r>
                            </w:p>
                            <w:p>
                              <w:pPr>
                                <w:pStyle w:val="Обычный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color w:val="fafbfd"/>
                                  <w:spacing w:val="10"/>
                                  <w:sz w:val="14"/>
                                  <w:szCs w:val="14"/>
                                  <w:u w:color="fafbfd"/>
                                  <w:rtl w:val="0"/>
                                  <w:lang w:val="ru-RU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5.1pt;margin-top:19.8pt;width:88.5pt;height:45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123950,581025">
                <w10:wrap type="none" side="bothSides" anchorx="margin"/>
                <v:shape id="_x0000_s1027" style="position:absolute;left:0;top:0;width:1123950;height:581025;" coordorigin="0,0" coordsize="21600,21600" path="M 0,5400 L 7200,5400 L 10800,0 L 14400,5400 L 21600,5400 L 18000,10800 L 21600,16200 L 14400,16200 L 10800,21600 L 7200,16200 L 0,16200 L 3600,10800 L 0,5400 X E">
                  <v:fill color="#8064A2" opacity="100.0%" type="solid"/>
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  <v:shadow on="t" color="#000000" opacity="0.3799896" offset="0.0pt,1.6pt"/>
                </v:shape>
                <v:rect id="_x0000_s1028" style="position:absolute;left:0;top:0;width:1123950;height:5810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jc w:val="center"/>
                          <w:rPr>
                            <w:b w:val="1"/>
                            <w:bCs w:val="1"/>
                            <w:color w:val="fafbfd"/>
                            <w:spacing w:val="10"/>
                            <w:sz w:val="14"/>
                            <w:szCs w:val="14"/>
                            <w:u w:color="fafbfd"/>
                            <w:lang w:val="en-US"/>
                          </w:rPr>
                        </w:pPr>
                      </w:p>
                      <w:p>
                        <w:pPr>
                          <w:pStyle w:val="Обычный"/>
                          <w:jc w:val="center"/>
                          <w:rPr>
                            <w:b w:val="1"/>
                            <w:bCs w:val="1"/>
                            <w:color w:val="fafbfd"/>
                            <w:spacing w:val="10"/>
                            <w:sz w:val="14"/>
                            <w:szCs w:val="14"/>
                            <w:u w:color="fafbfd"/>
                            <w:lang w:val="en-US"/>
                          </w:rPr>
                        </w:pPr>
                        <w:r>
                          <w:rPr>
                            <w:b w:val="1"/>
                            <w:bCs w:val="1"/>
                            <w:color w:val="fafbfd"/>
                            <w:spacing w:val="10"/>
                            <w:sz w:val="14"/>
                            <w:szCs w:val="14"/>
                            <w:u w:color="fafbfd"/>
                            <w:rtl w:val="0"/>
                            <w:lang w:val="en-US"/>
                          </w:rPr>
                          <w:t>NEW program</w:t>
                        </w:r>
                      </w:p>
                      <w:p>
                        <w:pPr>
                          <w:pStyle w:val="Обычный"/>
                          <w:jc w:val="center"/>
                        </w:pPr>
                        <w:r>
                          <w:rPr>
                            <w:b w:val="1"/>
                            <w:bCs w:val="1"/>
                            <w:color w:val="fafbfd"/>
                            <w:spacing w:val="10"/>
                            <w:sz w:val="14"/>
                            <w:szCs w:val="14"/>
                            <w:u w:color="fafbfd"/>
                            <w:rtl w:val="0"/>
                            <w:lang w:val="ru-RU"/>
                          </w:rPr>
                          <w:t>2018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ind w:left="425" w:right="284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Главный редактор журнала « Эндодонтия»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 </w:t>
      </w:r>
    </w:p>
    <w:p>
      <w:pPr>
        <w:pStyle w:val="Обычный"/>
        <w:ind w:left="425" w:right="284" w:firstLine="0"/>
        <w:rPr>
          <w:rFonts w:ascii="Calibri" w:cs="Calibri" w:hAnsi="Calibri" w:eastAsia="Calibri"/>
          <w:color w:val="000000"/>
          <w:sz w:val="28"/>
          <w:szCs w:val="28"/>
          <w:u w:color="000000"/>
        </w:rPr>
      </w:pP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               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                                      12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октября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года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                                                    Семинар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sz w:val="28"/>
          <w:szCs w:val="28"/>
          <w:u w:color="7030a0"/>
          <w:rtl w:val="0"/>
          <w:lang w:val="ru-RU"/>
        </w:rPr>
        <w:t>Перелечивание “Перелечиваний”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sz w:val="28"/>
          <w:szCs w:val="28"/>
          <w:u w:color="7030a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sz w:val="28"/>
          <w:szCs w:val="28"/>
          <w:u w:color="7030a0"/>
          <w:rtl w:val="0"/>
          <w:lang w:val="ru-RU"/>
        </w:rPr>
        <w:t>Травмы зубов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sz w:val="28"/>
          <w:szCs w:val="28"/>
          <w:u w:color="7030a0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Устранение процедурных ошибок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возникающих при первичном и повторном лечении корневых каналов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.  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Особенности эндодонтического лечения  травмированных зубов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Клиническая тактика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 лечения зубов с резорбциями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</w:rPr>
      </w:pPr>
    </w:p>
    <w:p>
      <w:pPr>
        <w:pStyle w:val="Обычный"/>
        <w:ind w:left="142" w:right="142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</w:p>
    <w:p>
      <w:pPr>
        <w:pStyle w:val="Обычный"/>
        <w:ind w:left="142" w:right="142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Первая часть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Причины  и анализ ошибок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наиболее часто возникающих при попытке повторного эндодонтического лечения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Ступеньки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ленточные перфорации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сломанные инструменты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Влияние на прогноз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техники устранения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Разбор клинических случаев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Транспортация  канала и апикального отверстия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Профилактика и лечение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Обтурация каналов  при апикальной воспалительной резорбции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Избыточное выведение пломбировочного материала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Профилактика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Резорбция твердых тканей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Классификация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прогноз и лечение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left="284" w:right="142" w:hanging="284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Вторая часть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Классификация травматических повреждений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Диагностика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прогнозирование и долгосрочный прогноз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Первая помощь  и клиническая тактика при переломах коронки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переломе корня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полном вывихе и коронко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корневом переломе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Особенности шинирования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Ведение пациентов с травмой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Пульпотомия и прямое покрытие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Методики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позволяющие добиться полного формирования корня и закрытия верхушечного отверстия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Практические рекомендации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left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Подробный разбор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клинических случаев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Расписание  семинара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Креативное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пространство «ИКРА»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Набережная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62-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й Армии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6,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большой конф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зал</w:t>
      </w:r>
    </w:p>
    <w:p>
      <w:pPr>
        <w:pStyle w:val="Обычный (веб)"/>
        <w:shd w:val="clear" w:color="auto" w:fill="ffffff"/>
        <w:spacing w:before="0" w:after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Регистрация участников  с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08-30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09-00,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семинар с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09-00 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16-00 (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с  перерывами на обед и кофе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паузы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При регистрации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 xml:space="preserve">до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 xml:space="preserve">12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>сентября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стоимость участия в  семинаре 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7500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рублей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При регистрации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 xml:space="preserve">после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 xml:space="preserve">12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val="single" w:color="ff0000"/>
          <w:rtl w:val="0"/>
          <w:lang w:val="ru-RU"/>
        </w:rPr>
        <w:t>сентября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стоимость 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8000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>рублей</w:t>
      </w:r>
    </w:p>
    <w:p>
      <w:pPr>
        <w:pStyle w:val="Обычный"/>
        <w:ind w:firstLine="425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обед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паузы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Свидетельство  НМО с кодом ИКП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а также именной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right="283" w:firstLine="425"/>
        <w:jc w:val="both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right="283" w:firstLine="425"/>
        <w:jc w:val="both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Стоматолог получает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6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кредитов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по семинару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для НЕПРЕРЫВНОГО МЕДИЦИНСКОГО ОБРАЗОВАНИЯ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НМО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и ДОПОЛНИТЕЛЬНОГО ПРОФЕССИОНАЛЬНОГО ОБРАЗОВАНИЯ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ДПО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по выбору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для специальностей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Стоматология общей практики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Детская стоматология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color w:val="ff0000"/>
          <w:sz w:val="16"/>
          <w:szCs w:val="16"/>
          <w:u w:color="ff0000"/>
          <w:shd w:val="clear" w:color="auto" w:fill="ffffff"/>
        </w:rPr>
      </w:pPr>
    </w:p>
    <w:p>
      <w:pPr>
        <w:pStyle w:val="Обычный"/>
        <w:shd w:val="clear" w:color="auto" w:fill="ffffff"/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</w:rPr>
      </w:pP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В соответствии со статьей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101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Федерального закона №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323-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ФЗ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статья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69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№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323-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ФЗ 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(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об аккредитации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)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вступает в силу с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января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2016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года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Поэтому аккредитационные часы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(C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видетельство с кодом ИКП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)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6"/>
          <w:szCs w:val="16"/>
          <w:u w:val="single" w:color="ff0000"/>
          <w:shd w:val="clear" w:color="auto" w:fill="ffffff"/>
          <w:rtl w:val="0"/>
          <w:lang w:val="ru-RU"/>
        </w:rPr>
        <w:t>необходимы только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 для специалистов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которые получили  свидетельство об аккредитации специалиста  после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января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2016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года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</w:rPr>
        <w:br w:type="textWrapping"/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Обращаем Ваше внимание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что на основании Письма МЗ РФ №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16-5/10/2-7567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с разъяснениями о повышении квалификации в период с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2016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по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2026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гг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 сертификаты специалистов будут выдаваться лицам до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января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2021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года включительно с учетом этапности перехода к системе аккредитации специалистов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а соответственно право на осуществление медицинской деятельности по указанным сертификатам будет пролонгировано до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января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2026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года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Таким образом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право на осуществление медицинской деятельности начиная с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1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января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 xml:space="preserve">2016 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года может быть подтверждено соискателем лицензии либо сертификатом специалиста либо свидетельством об аккредитации специалиста</w:t>
      </w:r>
      <w:r>
        <w:rPr>
          <w:rFonts w:ascii="Calibri" w:cs="Calibri" w:hAnsi="Calibri" w:eastAsia="Calibri"/>
          <w:i w:val="1"/>
          <w:i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года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Мастер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класс под руководством Болячина А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«Перелечивание “Перелечиваний” и Травма зубов»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Количество участников на мастер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класс  не более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15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человек в каждой группе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 предоставлением  всех расходных материалов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инструментов и оборудования для каждого участника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 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Для участия в мастер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классе необходимо иметь с собой резец или премоляр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 верхний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или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7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моляр с  трепанационным  отверстием и сформированным до устьев доступом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Корневые каналы не обрабатывать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6"/>
          <w:szCs w:val="16"/>
          <w:u w:color="000000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Программа мастер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класса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Удаление стекловолокна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Удаление отломка в технике «петли»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Изготовление индивидуального гуттаперчевого штифта метолом «слепка канала»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Закрытие ленточной перфорации с использованием шприцов для МТА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ind w:left="142" w:right="284" w:firstLine="851"/>
        <w:jc w:val="right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>Стоимость мастер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класса 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9500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руб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паузы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 именной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142" w:right="283" w:firstLine="425"/>
        <w:jc w:val="both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Расписание  мастер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класса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Заголовок 1"/>
        <w:spacing w:before="0" w:after="0"/>
        <w:rPr>
          <w:rFonts w:ascii="Calibri" w:cs="Calibri" w:hAnsi="Calibri" w:eastAsia="Calibri"/>
          <w:b w:val="0"/>
          <w:bCs w:val="0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Место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проведения</w:t>
      </w:r>
      <w:r>
        <w:rPr>
          <w:rFonts w:ascii="Calibri" w:cs="Calibri" w:hAnsi="Calibri" w:eastAsia="Calibri"/>
          <w:sz w:val="20"/>
          <w:szCs w:val="20"/>
          <w:rtl w:val="0"/>
        </w:rPr>
        <w:t>: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</w:rPr>
        <w:t xml:space="preserve"> Отель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"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ВОЛГОГРАД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 xml:space="preserve">",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Волгоград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ул Мира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 xml:space="preserve">, 12, 2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этаж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зал для презентаций</w:t>
      </w:r>
      <w:r>
        <w:rPr>
          <w:rFonts w:ascii="Calibri" w:cs="Calibri" w:hAnsi="Calibri" w:eastAsia="Calibri"/>
          <w:b w:val="0"/>
          <w:bCs w:val="0"/>
          <w:kern w:val="0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Обычный (веб)"/>
        <w:spacing w:before="0" w:after="0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: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Регистрация с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16-00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16-30,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>мастер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класс с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16-30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ru-RU"/>
        </w:rPr>
        <w:t>21-00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Обычный"/>
        <w:ind w:right="141"/>
        <w:jc w:val="center"/>
        <w:rPr>
          <w:rFonts w:ascii="Calibri" w:cs="Calibri" w:hAnsi="Calibri" w:eastAsia="Calibri"/>
          <w:b w:val="1"/>
          <w:bCs w:val="1"/>
          <w:color w:val="0070c0"/>
          <w:u w:color="0070c0"/>
        </w:rPr>
      </w:pP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:</w:t>
      </w:r>
    </w:p>
    <w:p>
      <w:pPr>
        <w:pStyle w:val="Обычный (веб)"/>
        <w:shd w:val="clear" w:color="auto" w:fill="ffffff"/>
        <w:spacing w:before="0" w:after="0"/>
        <w:ind w:right="426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Регистрация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региональный менеджер Элина Владимировна  </w:t>
      </w: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8(967)537-59-46</w:t>
      </w:r>
    </w:p>
    <w:p>
      <w:pPr>
        <w:pStyle w:val="Обычный"/>
        <w:tabs>
          <w:tab w:val="left" w:pos="7455"/>
        </w:tabs>
        <w:spacing w:line="360" w:lineRule="auto"/>
        <w:rPr>
          <w:rFonts w:ascii="Calibri" w:cs="Calibri" w:hAnsi="Calibri" w:eastAsia="Calibri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1422400</wp:posOffset>
            </wp:positionH>
            <wp:positionV relativeFrom="line">
              <wp:posOffset>337820</wp:posOffset>
            </wp:positionV>
            <wp:extent cx="398780" cy="39878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epositphotos_11554046-stock-illustration-sphere-www-ico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line">
              <wp:posOffset>337820</wp:posOffset>
            </wp:positionV>
            <wp:extent cx="352425" cy="352425"/>
            <wp:effectExtent l="0" t="0" r="0" b="0"/>
            <wp:wrapNone/>
            <wp:docPr id="1073741832" name="officeArt object" descr="иконка электронная почта, mail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w128h1281389807792mailicon3.png" descr="иконка электронная почта, mail,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  <w:lang w:val="ru-RU"/>
        </w:rPr>
        <w:t>По общим вопросам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 xml:space="preserve">директор Светлана Олеговна Хапилина 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257175" cy="2571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drawing>
          <wp:inline distT="0" distB="0" distL="0" distR="0">
            <wp:extent cx="390525" cy="21526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5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8 (921) 862-98-24</w:t>
      </w:r>
    </w:p>
    <w:p>
      <w:pPr>
        <w:pStyle w:val="Обычный"/>
        <w:tabs>
          <w:tab w:val="left" w:pos="7455"/>
        </w:tabs>
        <w:ind w:right="141"/>
        <w:rPr>
          <w:rStyle w:val="Нет"/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      </w:t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lang w:val="fr-FR"/>
        </w:rPr>
        <w:instrText xml:space="preserve"> HYPERLINK "mailto:xso@mail.ru"</w:instrText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lang w:val="fr-FR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en-US"/>
        </w:rPr>
        <w:t>@</w:t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en-US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color="0070c0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 xml:space="preserve">           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u w:val="single" w:color="0070c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u w:val="single" w:color="0070c0"/>
          <w:lang w:val="en-US"/>
        </w:rPr>
        <w:instrText xml:space="preserve"> HYPERLINK "http://www.profistomat.ru"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u w:val="single" w:color="0070c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en-US"/>
        </w:rPr>
        <w:t xml:space="preserve"> profistomat.ru</w:t>
      </w:r>
      <w:r>
        <w:rPr/>
        <w:fldChar w:fldCharType="end" w:fldLock="0"/>
      </w:r>
    </w:p>
    <w:p>
      <w:pPr>
        <w:pStyle w:val="Обычный"/>
        <w:tabs>
          <w:tab w:val="left" w:pos="7455"/>
        </w:tabs>
        <w:ind w:right="141"/>
        <w:rPr>
          <w:rFonts w:ascii="Calibri" w:cs="Calibri" w:hAnsi="Calibri" w:eastAsia="Calibri"/>
          <w:lang w:val="en-US"/>
        </w:rPr>
      </w:pP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f243e"/>
          <w:sz w:val="22"/>
          <w:szCs w:val="22"/>
          <w:u w:color="0f243e"/>
          <w:lang w:val="en-US"/>
        </w:rPr>
      </w:pPr>
      <w:r>
        <w:rPr>
          <w:rStyle w:val="Hyperlink.1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en-US"/>
        </w:rPr>
        <w:t>Мы в соцсетях</w:t>
      </w:r>
      <w:r>
        <w:rPr>
          <w:rStyle w:val="Нет"/>
          <w:rFonts w:ascii="Calibri" w:cs="Calibri" w:hAnsi="Calibri" w:eastAsia="Calibri"/>
          <w:b w:val="1"/>
          <w:bCs w:val="1"/>
          <w:color w:val="0f243e"/>
          <w:sz w:val="22"/>
          <w:szCs w:val="22"/>
          <w:u w:color="0f243e"/>
          <w:rtl w:val="0"/>
          <w:lang w:val="en-US"/>
        </w:rPr>
        <w:t>:</w:t>
      </w:r>
    </w:p>
    <w:p>
      <w:pPr>
        <w:pStyle w:val="Обычный"/>
        <w:tabs>
          <w:tab w:val="left" w:pos="4729"/>
        </w:tabs>
        <w:ind w:right="284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71514" cy="276254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4" cy="276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"https://vk.com/public92896615"</w:instrText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public92896615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 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71361" cy="3429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61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</w:t>
      </w:r>
      <w:r>
        <w:rPr>
          <w:rStyle w:val="Hyperlink.3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18"/>
          <w:szCs w:val="18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18"/>
          <w:szCs w:val="18"/>
          <w:u w:color="0f243e"/>
          <w:rtl w:val="0"/>
          <w:lang w:val="en-US"/>
        </w:rPr>
        <w:t>professionalstomatolog/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447599" cy="447599"/>
            <wp:effectExtent l="0" t="0" r="0" b="0"/>
            <wp:docPr id="1073741837" name="officeArt object" descr="инстаграм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инстаграмм.jpg" descr="инстаграмм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99" cy="44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23836" cy="323836"/>
            <wp:effectExtent l="0" t="0" r="0" b="0"/>
            <wp:docPr id="1073741838" name="officeArt object" descr="new-youtube-logo-eps-i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new-youtube-logo-eps-i14.png" descr="new-youtube-logo-eps-i1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6" cy="323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2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channel/UCebn3_YQ6dxFBiWEA5cG2Ww</w:t>
      </w:r>
    </w:p>
    <w:p>
      <w:pPr>
        <w:pStyle w:val="Обычный"/>
        <w:ind w:right="283"/>
        <w:jc w:val="both"/>
        <w:rPr>
          <w:rFonts w:ascii="Calibri" w:cs="Calibri" w:hAnsi="Calibri" w:eastAsia="Calibri"/>
          <w:sz w:val="16"/>
          <w:szCs w:val="16"/>
          <w:lang w:val="en-US"/>
        </w:rPr>
      </w:pPr>
    </w:p>
    <w:p>
      <w:pPr>
        <w:pStyle w:val="Обычный"/>
        <w:tabs>
          <w:tab w:val="left" w:pos="7455"/>
        </w:tabs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</w:pPr>
      <w:r>
        <w:rPr>
          <w:rStyle w:val="Нет"/>
          <w:rFonts w:ascii="Calibri" w:cs="Calibri" w:hAnsi="Calibri" w:eastAsia="Calibri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5678805</wp:posOffset>
            </wp:positionH>
            <wp:positionV relativeFrom="line">
              <wp:posOffset>124459</wp:posOffset>
            </wp:positionV>
            <wp:extent cx="1257300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tabs>
          <w:tab w:val="left" w:pos="7455"/>
        </w:tabs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ФОРМЫ ОПЛАТЫ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right="141"/>
        <w:jc w:val="both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на основании выписанного счета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right="141"/>
        <w:rPr>
          <w:rStyle w:val="Нет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color w:val="ff0000"/>
          <w:sz w:val="18"/>
          <w:szCs w:val="18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Предварительная регистрация участников обязательна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!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семинара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4749"/>
        </w:tabs>
        <w:ind w:left="142" w:right="283" w:firstLine="425"/>
        <w:jc w:val="center"/>
        <w:rPr>
          <w:rStyle w:val="Нет"/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 </w:t>
      </w:r>
    </w:p>
    <w:p>
      <w:pPr>
        <w:pStyle w:val="Обычный"/>
        <w:tabs>
          <w:tab w:val="left" w:pos="4749"/>
        </w:tabs>
        <w:ind w:left="142" w:right="283" w:firstLine="425"/>
        <w:jc w:val="center"/>
        <w:rPr>
          <w:rStyle w:val="Нет"/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К сведению участникам семинара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tabs>
          <w:tab w:val="left" w:pos="4749"/>
        </w:tabs>
        <w:ind w:right="283" w:firstLine="284"/>
        <w:jc w:val="both"/>
        <w:rPr>
          <w:rStyle w:val="Нет"/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Согласно правилам подачи заявок на аккредитацию семинаров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УМ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в СтАР 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проходит след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этапы согласования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:</w:t>
      </w:r>
    </w:p>
    <w:p>
      <w:pPr>
        <w:pStyle w:val="Обычный"/>
        <w:ind w:right="283" w:firstLine="284"/>
        <w:jc w:val="both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1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До подачи заявки и при подписании договора с НИИАМС или СтАР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>
      <w:pPr>
        <w:pStyle w:val="Обычный"/>
        <w:ind w:right="283" w:firstLine="284"/>
        <w:jc w:val="both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2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После подачи и до подтверждения Комиссией решения об оценке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допускается единственная формулировка в отношении учебного материала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>
      <w:pPr>
        <w:pStyle w:val="Обычный"/>
        <w:ind w:right="283" w:firstLine="284"/>
        <w:jc w:val="both"/>
      </w:pP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3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После подтверждения Комиссией решения об оценке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  «Мероприятие соответствует требованиям для НЕПРЕРЫВНОГО МЕДИЦИНСКОГО ОБРАЗОВАНИЯ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НМО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и ДОПОЛНИТЕЛЬНОГО ПРОФЕССИОНАЛЬНОГО ОБРАЗОВАНИЯ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ДПО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по специальностям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Стоматология терапевтическая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Стоматология общей практики» и н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а программу наносятся логотип СтАР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с надписью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«При поддержке СтАР»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)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и НИИАМС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Мероприятие вывешивается в официальном календаре СтАР на сайте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en-US"/>
        </w:rPr>
        <w:t>e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en-US"/>
        </w:rPr>
        <w:t>stomatology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: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«Стоматолог получает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 xml:space="preserve">_6_ </w:t>
      </w:r>
      <w:r>
        <w:rPr>
          <w:rStyle w:val="Нет"/>
          <w:rFonts w:ascii="Calibri" w:cs="Calibri" w:hAnsi="Calibri" w:eastAsia="Calibri"/>
          <w:b w:val="1"/>
          <w:bCs w:val="1"/>
          <w:sz w:val="16"/>
          <w:szCs w:val="16"/>
          <w:rtl w:val="0"/>
          <w:lang w:val="ru-RU"/>
        </w:rPr>
        <w:t>кредитов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для НЕПРЕРЫВНОГО МЕДИЦИНСКОГО ОБРАЗОВАНИЯ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НМО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и ДОПОЛНИТЕЛЬНОГО ПРОФЕССИОНАЛЬНОГО ОБРАЗОВАНИЯ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ДПО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по выбору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для специальностей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стоматология терапевтическая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Стоматология общей практики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Детская стоматология»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16"/>
          <w:szCs w:val="16"/>
        </w:rPr>
      </w:r>
    </w:p>
    <w:sectPr>
      <w:headerReference w:type="default" r:id="rId16"/>
      <w:footerReference w:type="default" r:id="rId17"/>
      <w:pgSz w:w="11900" w:h="16840" w:orient="portrait"/>
      <w:pgMar w:top="567" w:right="424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−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color w:val="0070c0"/>
      <w:u w:val="single" w:color="0070c0"/>
      <w:lang w:val="fr-FR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0070c0"/>
      <w:u w:val="single" w:color="0070c0"/>
      <w:lang w:val="en-US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color w:val="0f243e"/>
      <w:sz w:val="18"/>
      <w:szCs w:val="18"/>
      <w:u w:color="0f243e"/>
      <w:lang w:val="en-US"/>
    </w:rPr>
  </w:style>
  <w:style w:type="character" w:styleId="Hyperlink.3">
    <w:name w:val="Hyperlink.3"/>
    <w:basedOn w:val="Нет"/>
    <w:next w:val="Hyperlink.3"/>
    <w:rPr>
      <w:color w:val="0f243e"/>
      <w:sz w:val="18"/>
      <w:szCs w:val="18"/>
      <w:u w:color="0f243e"/>
      <w:lang w:val="en-US"/>
    </w:rPr>
  </w:style>
  <w:style w:type="character" w:styleId="Hyperlink.4">
    <w:name w:val="Hyperlink.4"/>
    <w:basedOn w:val="Нет"/>
    <w:next w:val="Hyperlink.4"/>
    <w:rPr>
      <w:rFonts w:ascii="Calibri" w:cs="Calibri" w:hAnsi="Calibri" w:eastAsia="Calibri"/>
      <w:color w:val="0000ff"/>
      <w:sz w:val="20"/>
      <w:szCs w:val="20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3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