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113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5"/>
        <w:gridCol w:w="5785"/>
      </w:tblGrid>
      <w:tr>
        <w:tblPrEx>
          <w:shd w:val="clear" w:color="auto" w:fill="ced7e7"/>
        </w:tblPrEx>
        <w:trPr>
          <w:trHeight w:val="1368" w:hRule="atLeast"/>
        </w:trPr>
        <w:tc>
          <w:tcPr>
            <w:tcW w:type="dxa" w:w="5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Уважаемые стоматологи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!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Приглашаем Вас на семинар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который будет проходить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в Архангельске</w:t>
            </w:r>
          </w:p>
          <w:p>
            <w:pPr>
              <w:pStyle w:val="Обычный"/>
              <w:bidi w:val="0"/>
              <w:ind w:left="0" w:right="282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с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16-17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декабря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2018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года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2"/>
            </w:tcMar>
            <w:vAlign w:val="top"/>
          </w:tcPr>
          <w:p>
            <w:pPr>
              <w:pStyle w:val="Обычный"/>
              <w:ind w:right="282"/>
              <w:jc w:val="center"/>
            </w:pPr>
            <w:r>
              <w:rPr>
                <w:lang w:val="ru-RU"/>
              </w:rPr>
              <w:drawing>
                <wp:inline distT="0" distB="0" distL="0" distR="0">
                  <wp:extent cx="2494105" cy="822903"/>
                  <wp:effectExtent l="0" t="0" r="0" b="0"/>
                  <wp:docPr id="1073741825" name="officeArt object" descr="фирменный стиль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 descr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105" cy="8229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Текстовый блок"/>
        <w:widowControl w:val="0"/>
        <w:ind w:left="216" w:hanging="216"/>
      </w:pPr>
    </w:p>
    <w:p>
      <w:pPr>
        <w:pStyle w:val="Текстовый блок A"/>
        <w:widowControl w:val="0"/>
        <w:ind w:left="108" w:hanging="108"/>
      </w:pPr>
    </w:p>
    <w:p>
      <w:pPr>
        <w:pStyle w:val="Текстовый блок A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08"/>
        </w:tabs>
      </w:pPr>
    </w:p>
    <w:p>
      <w:pPr>
        <w:pStyle w:val="Обычный"/>
        <w:ind w:right="282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20"/>
          <w:szCs w:val="20"/>
          <w:u w:color="ff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 xml:space="preserve">        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20"/>
          <w:szCs w:val="20"/>
          <w:u w:color="ff0000"/>
          <w:rtl w:val="0"/>
          <w:lang w:val="ru-RU"/>
        </w:rPr>
        <w:t>Заявка по учебному мероприятию в установленные порядком сроки будет представлена в Комиссию по оценке учебных мероприятий и материалов на соответствие установленным требованиям для НМО</w:t>
      </w:r>
    </w:p>
    <w:p>
      <w:pPr>
        <w:pStyle w:val="Обычный"/>
        <w:tabs>
          <w:tab w:val="left" w:pos="126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Обычный"/>
        <w:tabs>
          <w:tab w:val="left" w:pos="1260"/>
        </w:tabs>
        <w:rPr>
          <w:rFonts w:ascii="Calibri" w:cs="Calibri" w:hAnsi="Calibri" w:eastAsia="Calibri"/>
          <w:b w:val="1"/>
          <w:bCs w:val="1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sz w:val="18"/>
          <w:szCs w:val="1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29209</wp:posOffset>
            </wp:positionH>
            <wp:positionV relativeFrom="line">
              <wp:posOffset>-3174</wp:posOffset>
            </wp:positionV>
            <wp:extent cx="847725" cy="9061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Приямпольскя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Приямпольскя.jpeg" descr="Приямпольскя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6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>Лектор</w:t>
      </w:r>
      <w:r>
        <w:rPr>
          <w:rFonts w:ascii="Calibri" w:cs="Calibri" w:hAnsi="Calibri" w:eastAsia="Calibri"/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 xml:space="preserve">:  </w:t>
      </w:r>
      <w:r>
        <w:rPr>
          <w:rFonts w:ascii="Calibri" w:cs="Calibri" w:hAnsi="Calibri" w:eastAsia="Calibri"/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>Приямпольская Марина Борисовна</w:t>
      </w:r>
    </w:p>
    <w:p>
      <w:pPr>
        <w:pStyle w:val="Обычный"/>
        <w:ind w:left="142" w:right="142" w:firstLine="0"/>
        <w:rPr>
          <w:rFonts w:ascii="Calibri" w:cs="Calibri" w:hAnsi="Calibri" w:eastAsia="Calibri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В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1994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году закончила Самарский государственный медицинский университет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ind w:left="142" w:right="142" w:firstLine="0"/>
        <w:rPr>
          <w:rFonts w:ascii="Calibri" w:cs="Calibri" w:hAnsi="Calibri" w:eastAsia="Calibri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2012- 2014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гг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клиническая ординатура по специальности «Рентгенология»</w:t>
      </w:r>
    </w:p>
    <w:p>
      <w:pPr>
        <w:pStyle w:val="Обычный"/>
        <w:ind w:left="142" w:right="142" w:firstLine="0"/>
        <w:rPr>
          <w:rFonts w:ascii="Calibri" w:cs="Calibri" w:hAnsi="Calibri" w:eastAsia="Calibri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Профессиональные интересы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:</w:t>
      </w:r>
    </w:p>
    <w:p>
      <w:pPr>
        <w:pStyle w:val="Обычный"/>
        <w:ind w:left="142" w:right="142" w:firstLine="0"/>
        <w:rPr>
          <w:rFonts w:ascii="Calibri" w:cs="Calibri" w:hAnsi="Calibri" w:eastAsia="Calibri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Ортоградная и ретроградная эндодонтия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консервативная и хирургическая пародонтология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лучевая диагностика                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(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частная практика в г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Самара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)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Автор цикла теоретически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практических курсов по пародонтологии и хирургической эндодонтии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Автор и соавтор статей в журналах «Пародонтология» и «Эндодонтия»  Проходила специализацию в ведущих университетах и частных клиниках Европы</w:t>
      </w:r>
    </w:p>
    <w:p>
      <w:pPr>
        <w:pStyle w:val="Обычный"/>
        <w:ind w:firstLine="567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18"/>
          <w:szCs w:val="18"/>
          <w:u w:color="ff0000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В ходе семинара будет изложена современная периоконцепция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протоколы ведения пациентов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Освещены вопросы пародонтологического сопровождения </w:t>
      </w:r>
      <w:r>
        <w:rPr>
          <w:rFonts w:ascii="Calibri" w:cs="Calibri" w:hAnsi="Calibri" w:eastAsia="Calibri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>имплантологического и ортопедического лечения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особенности лечения беременных женщин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пациентов с системными заболеваниями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остеопорозом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Обсуждение устоявшихся догм и мифов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.</w:t>
      </w:r>
      <w:r>
        <w:rPr>
          <w:rFonts w:ascii="Calibri" w:cs="Calibri" w:hAnsi="Calibri" w:eastAsia="Calibri"/>
          <w:i w:val="1"/>
          <w:iCs w:val="1"/>
          <w:color w:val="000000"/>
          <w:sz w:val="18"/>
          <w:szCs w:val="18"/>
          <w:u w:color="000000"/>
          <w:shd w:val="clear" w:color="auto" w:fill="f6f6f6"/>
          <w:rtl w:val="0"/>
          <w:lang w:val="ru-RU"/>
        </w:rPr>
        <w:t xml:space="preserve">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Марина Борисовна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огромный багаж клинического опыта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помноженный на базовое академическое образование и умение донести до слушателей сложную информацию простым языком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делает этот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>необходимый всем специалистам курс абсолютно уникальным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>.</w:t>
      </w: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ru-RU"/>
        </w:rPr>
        <w:t xml:space="preserve">16-17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ru-RU"/>
        </w:rPr>
        <w:t xml:space="preserve">декабря 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ru-RU"/>
        </w:rPr>
        <w:t xml:space="preserve">2018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ru-RU"/>
        </w:rPr>
        <w:t>года</w:t>
      </w:r>
    </w:p>
    <w:p>
      <w:pPr>
        <w:pStyle w:val="Название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ru-RU"/>
        </w:rPr>
        <w:t>Пародонтология в ежедневной клинической практике</w:t>
      </w:r>
    </w:p>
    <w:p>
      <w:pPr>
        <w:pStyle w:val="Обычный (веб)"/>
        <w:shd w:val="clear" w:color="auto" w:fill="ffffff"/>
        <w:spacing w:before="0" w:after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Первый день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Распространенность заболеваний пародонта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актуальность проблемы для врачей разного профиля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Строение пародонта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Эволюция в понимании этиологии периопоражений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:</w:t>
      </w:r>
    </w:p>
    <w:p>
      <w:pPr>
        <w:pStyle w:val="Обычный"/>
        <w:numPr>
          <w:ilvl w:val="1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Теория атрофии и дегенерации</w:t>
      </w:r>
    </w:p>
    <w:p>
      <w:pPr>
        <w:pStyle w:val="Обычный"/>
        <w:numPr>
          <w:ilvl w:val="1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Теория окклюзионной перегрузки</w:t>
      </w:r>
    </w:p>
    <w:p>
      <w:pPr>
        <w:pStyle w:val="Обычный"/>
        <w:numPr>
          <w:ilvl w:val="1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Инфекционная теория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Патогенез воспалительных поражений пародонта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факторы и индикаторы риска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Обзор существующих классификаций заболеваний пародонта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Клинические проявления основных форм периопоражений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Диагностика заболеваний пародонта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:</w:t>
      </w:r>
    </w:p>
    <w:p>
      <w:pPr>
        <w:pStyle w:val="Обычный"/>
        <w:numPr>
          <w:ilvl w:val="1"/>
          <w:numId w:val="3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Параметры обследования</w:t>
      </w:r>
    </w:p>
    <w:p>
      <w:pPr>
        <w:pStyle w:val="Обычный"/>
        <w:numPr>
          <w:ilvl w:val="1"/>
          <w:numId w:val="3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Инструменты</w:t>
      </w:r>
    </w:p>
    <w:p>
      <w:pPr>
        <w:pStyle w:val="Обычный"/>
        <w:numPr>
          <w:ilvl w:val="1"/>
          <w:numId w:val="3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Виды пародонтальных карманов</w:t>
      </w:r>
    </w:p>
    <w:p>
      <w:pPr>
        <w:pStyle w:val="Обычный"/>
        <w:numPr>
          <w:ilvl w:val="1"/>
          <w:numId w:val="3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Лучевая диагностика</w:t>
      </w:r>
    </w:p>
    <w:p>
      <w:pPr>
        <w:pStyle w:val="Обычный"/>
        <w:numPr>
          <w:ilvl w:val="1"/>
          <w:numId w:val="3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Документация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Факторы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влияющие на прогноз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Современный подход к лечению заболеваний пародонта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Обзор методик обработки поверхности корня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особенности работы ручными и ультразвуковыми инструментами</w:t>
      </w:r>
    </w:p>
    <w:p>
      <w:pPr>
        <w:pStyle w:val="Обычный (веб)"/>
        <w:shd w:val="clear" w:color="auto" w:fill="ffffff"/>
        <w:tabs>
          <w:tab w:val="left" w:pos="709"/>
        </w:tabs>
        <w:spacing w:before="0" w:after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Второй день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Антимикробная терапия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системное и местное применение антибиотиков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выбор антимикробных растворов и ополаскивателей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Перспективы использования лазеров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Патологическая подвижность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причины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показания к шинированию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Оценка результатов нехирургического лечения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Сложные решения – что дальше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?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Определений показаний к хирургическому лечению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коррекция фуркационных дефектов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Эндо– перио поражения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целесообразность эндодонтического лечения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Резорбции твердых тканей зуба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Особенности имплантации у пациентов с пародонтитом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Диагностика и лечение периимплантитов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CIST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протокол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Поддерживающее пародонтологическое лечение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Определение интервалов приема в зависимости от клинической картины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hanging="284"/>
        <w:rPr>
          <w:rStyle w:val="Hyperlink.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  Место проведения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Отель Пур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Наволок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vel.yandex.ru/hotel/2675997?context=rooms&amp;when=2018-06-17&amp;nights=1&amp;ages=88&amp;user_query=WFNILfkW_KJu62cjKV3v9Qz2BXyyyt1eZDrqtA1R5zm3GQ6VL5pZy7gWNjAXi033vepLYRICffa8znusPrC2IasDyOW6B8FAKvEF33HhxHXIh2QJG_6V-M9cJxzDbJxx5BU1PhA3D5978cranL7DfUdL3xSCVx9OFO2mMy_7u6vQzKLtAA&amp;req_id=zookrnI0F4j40-A5cHyk27k7n-NbCIw83ooxE-Bs-K1DQB9uVsZY_zpLkXAaTbBmzetPDRX3iXvoWhRkb2yu7sLfVqlBuJ1vQK3limTeuq0jsMR0lKnMmwNlQg&amp;utm_source=serp&amp;utm_medium=right%2523hotel__ma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набережная Северной Двины</w:t>
      </w:r>
      <w:r>
        <w:rPr>
          <w:rStyle w:val="Hyperlink.0"/>
          <w:rtl w:val="0"/>
          <w:lang w:val="ru-RU"/>
        </w:rPr>
        <w:t xml:space="preserve">, 88, </w:t>
      </w:r>
      <w:r>
        <w:rPr>
          <w:rStyle w:val="Hyperlink.0"/>
          <w:rtl w:val="0"/>
          <w:lang w:val="ru-RU"/>
        </w:rPr>
        <w:t>корп</w:t>
      </w:r>
      <w:r>
        <w:rPr>
          <w:rStyle w:val="Hyperlink.0"/>
          <w:rtl w:val="0"/>
          <w:lang w:val="ru-RU"/>
        </w:rPr>
        <w:t>. 1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конференц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зал</w:t>
      </w:r>
    </w:p>
    <w:p>
      <w:pPr>
        <w:pStyle w:val="Обычный (веб)"/>
        <w:shd w:val="clear" w:color="auto" w:fill="ffffff"/>
        <w:spacing w:before="0" w:after="0"/>
        <w:ind w:left="284" w:hanging="284"/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  Время проведения</w:t>
      </w:r>
      <w:r>
        <w:rPr>
          <w:rStyle w:val="Нет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Регистрация  с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9-00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до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10-00, 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семинар с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10-00 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до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17-00 (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с  перерывами на обед и кофе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паузы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142" w:right="426" w:firstLine="0"/>
        <w:jc w:val="right"/>
        <w:rPr>
          <w:rStyle w:val="Нет"/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Стоимость участия в семинаре 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32"/>
          <w:szCs w:val="32"/>
          <w:u w:val="single" w:color="ff0000"/>
          <w:rtl w:val="0"/>
          <w:lang w:val="ru-RU"/>
        </w:rPr>
        <w:t>2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32"/>
          <w:szCs w:val="32"/>
          <w:u w:val="single" w:color="ff0000"/>
          <w:rtl w:val="0"/>
          <w:lang w:val="ru-RU"/>
        </w:rPr>
        <w:t>0 000</w:t>
      </w:r>
      <w:r>
        <w:rPr>
          <w:rStyle w:val="Нет"/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 рублей за два дня</w:t>
      </w:r>
    </w:p>
    <w:p>
      <w:pPr>
        <w:pStyle w:val="Обычный (веб)"/>
        <w:shd w:val="clear" w:color="auto" w:fill="ffffff"/>
        <w:spacing w:before="0" w:after="0"/>
        <w:ind w:left="142" w:right="426" w:firstLine="0"/>
        <w:jc w:val="right"/>
        <w:rPr>
          <w:rStyle w:val="Нет"/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Специальная цена с </w:t>
      </w:r>
      <w:r>
        <w:rPr>
          <w:rStyle w:val="Нет"/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11 </w:t>
      </w:r>
      <w:r>
        <w:rPr>
          <w:rStyle w:val="Нет"/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декабря </w:t>
      </w:r>
      <w:r>
        <w:rPr>
          <w:rStyle w:val="Нет"/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2018 </w:t>
      </w:r>
      <w:r>
        <w:rPr>
          <w:rStyle w:val="Нет"/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для докторов из Архангельска 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32"/>
          <w:szCs w:val="32"/>
          <w:u w:val="single" w:color="ff0000"/>
          <w:rtl w:val="0"/>
          <w:lang w:val="ru-RU"/>
        </w:rPr>
        <w:t>10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32"/>
          <w:szCs w:val="32"/>
          <w:u w:val="single" w:color="ff0000"/>
          <w:rtl w:val="0"/>
          <w:lang w:val="ru-RU"/>
        </w:rPr>
        <w:t xml:space="preserve"> 000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32"/>
          <w:szCs w:val="32"/>
          <w:u w:val="single" w:color="ff0000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ru-RU"/>
        </w:rPr>
        <w:t>руб</w:t>
      </w:r>
    </w:p>
    <w:p>
      <w:pPr>
        <w:pStyle w:val="Обычный (веб)"/>
        <w:shd w:val="clear" w:color="auto" w:fill="ffffff"/>
        <w:spacing w:before="0" w:after="0"/>
        <w:ind w:left="142" w:right="426" w:firstLine="0"/>
        <w:jc w:val="right"/>
        <w:rPr>
          <w:rStyle w:val="Нет"/>
          <w:rFonts w:ascii="Calibri" w:cs="Calibri" w:hAnsi="Calibri" w:eastAsia="Calibri"/>
          <w:b w:val="1"/>
          <w:bCs w:val="1"/>
          <w:color w:val="0070c0"/>
          <w:u w:color="0070c0"/>
        </w:rPr>
      </w:pPr>
      <w:r>
        <w:rPr>
          <w:rStyle w:val="Нет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Каждому участнику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выдается именной сертификат ООО «ПРОФЕССИОНАЛ»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обед и кофе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паузы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u w:color="0070c0"/>
          <w:rtl w:val="0"/>
          <w:lang w:val="ru-RU"/>
        </w:rPr>
        <w:t xml:space="preserve">    </w:t>
      </w:r>
    </w:p>
    <w:p>
      <w:pPr>
        <w:pStyle w:val="Обычный"/>
        <w:ind w:right="141"/>
        <w:jc w:val="center"/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</w:rPr>
      </w:pPr>
      <w:r>
        <w:rPr>
          <w:rStyle w:val="Нет"/>
          <w:rFonts w:ascii="Calibri" w:cs="Calibri" w:hAnsi="Calibri" w:eastAsia="Calibri"/>
          <w:sz w:val="18"/>
          <w:szCs w:val="1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6022975</wp:posOffset>
            </wp:positionH>
            <wp:positionV relativeFrom="line">
              <wp:posOffset>38100</wp:posOffset>
            </wp:positionV>
            <wp:extent cx="265430" cy="265430"/>
            <wp:effectExtent l="0" t="0" r="0" b="0"/>
            <wp:wrapNone/>
            <wp:docPr id="1073741827" name="officeArt object" descr="depositphotos_11554046-stock-illustration-sphere-www-ico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positphotos_11554046-stock-illustration-sphere-www-icon.jpeg" descr="depositphotos_11554046-stock-illustration-sphere-www-icon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Calibri" w:cs="Calibri" w:hAnsi="Calibri" w:eastAsia="Calibri"/>
          <w:sz w:val="18"/>
          <w:szCs w:val="1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5287645</wp:posOffset>
            </wp:positionH>
            <wp:positionV relativeFrom="line">
              <wp:posOffset>45718</wp:posOffset>
            </wp:positionV>
            <wp:extent cx="257810" cy="257810"/>
            <wp:effectExtent l="0" t="0" r="0" b="0"/>
            <wp:wrapNone/>
            <wp:docPr id="1073741828" name="officeArt object" descr="иконка электронная почта, mail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конка электронная почта, mail," descr="иконка электронная почта, mail,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color="0070c0"/>
          <w:rtl w:val="0"/>
          <w:lang w:val="ru-RU"/>
        </w:rPr>
        <w:t xml:space="preserve">    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Запись и дополнительная информация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spacing w:line="360" w:lineRule="auto"/>
        <w:rPr>
          <w:rStyle w:val="Hyperlink.0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Директор УЦ ПРОФЕССИОНАЛ Светлана Олеговна Хапилина</w:t>
      </w:r>
      <w:r>
        <w:rPr>
          <w:rStyle w:val="Hyperlink.0.0"/>
          <w:rFonts w:ascii="Calibri" w:cs="Calibri" w:hAnsi="Calibri" w:eastAsia="Calibri"/>
          <w:sz w:val="20"/>
          <w:szCs w:val="20"/>
          <w:rtl w:val="0"/>
          <w:lang w:val="ru-RU"/>
        </w:rPr>
        <w:t>,</w:t>
      </w:r>
      <w:r>
        <w:rPr>
          <w:rStyle w:val="Нет"/>
          <w:rFonts w:ascii="Calibri" w:cs="Calibri" w:hAnsi="Calibri" w:eastAsia="Calibri"/>
          <w:color w:val="548dd4"/>
          <w:sz w:val="20"/>
          <w:szCs w:val="20"/>
          <w:u w:color="548dd4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color="0070c0"/>
          <w:rtl w:val="0"/>
          <w:lang w:val="ru-RU"/>
        </w:rPr>
        <w:t>+7 (921) 862-98-24</w:t>
      </w:r>
      <w:r>
        <w:rPr>
          <w:rStyle w:val="Hyperlink.0.0"/>
          <w:rFonts w:ascii="Calibri" w:cs="Calibri" w:hAnsi="Calibri" w:eastAsia="Calibri"/>
          <w:sz w:val="20"/>
          <w:szCs w:val="20"/>
          <w:lang w:val="ru-RU"/>
        </w:rPr>
        <w:drawing>
          <wp:inline distT="0" distB="0" distL="0" distR="0">
            <wp:extent cx="390525" cy="216599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16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0.0"/>
          <w:rFonts w:ascii="Calibri" w:cs="Calibri" w:hAnsi="Calibri" w:eastAsia="Calibri"/>
          <w:sz w:val="20"/>
          <w:szCs w:val="20"/>
          <w:lang w:val="ru-RU"/>
        </w:rPr>
        <w:drawing>
          <wp:inline distT="0" distB="0" distL="0" distR="0">
            <wp:extent cx="257175" cy="257175"/>
            <wp:effectExtent l="0" t="0" r="0" b="0"/>
            <wp:docPr id="1073741830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 descr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0.0"/>
          <w:rFonts w:ascii="Calibri" w:cs="Calibri" w:hAnsi="Calibri" w:eastAsia="Calibri"/>
          <w:sz w:val="20"/>
          <w:szCs w:val="20"/>
          <w:lang w:val="ru-RU"/>
        </w:rPr>
        <w:drawing>
          <wp:inline distT="0" distB="0" distL="0" distR="0">
            <wp:extent cx="231458" cy="231458"/>
            <wp:effectExtent l="0" t="0" r="0" b="0"/>
            <wp:docPr id="1073741831" name="officeArt object" descr="C:\АРХИВ\АрхиВ\Лу\Рабочие\Стоматология\Фото,подписи,логотипы\теле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АРХИВ\АрхиВ\Лу\Рабочие\Стоматология\Фото,подписи,логотипы\телеграмм.jpg" descr="C:\АРХИВ\АрхиВ\Лу\Рабочие\Стоматология\Фото,подписи,логотипы\телеграмм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8" cy="231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0.0"/>
          <w:rFonts w:ascii="Calibri" w:cs="Calibri" w:hAnsi="Calibri" w:eastAsia="Calibri"/>
          <w:sz w:val="20"/>
          <w:szCs w:val="20"/>
          <w:rtl w:val="0"/>
          <w:lang w:val="ru-RU"/>
        </w:rPr>
        <w:t xml:space="preserve">        </w: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lang w:val="fr-FR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lang w:val="fr-FR"/>
        </w:rPr>
        <w:instrText xml:space="preserve"> HYPERLINK "mailto:xso@mail.ru"</w:instrTex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lang w:val="fr-FR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fr-FR"/>
        </w:rPr>
        <w:t>xso</w:t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@</w: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fr-FR"/>
        </w:rPr>
        <w:t>mail</w:t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0.0"/>
          <w:rFonts w:ascii="Calibri" w:cs="Calibri" w:hAnsi="Calibri" w:eastAsia="Calibri"/>
          <w:sz w:val="20"/>
          <w:szCs w:val="20"/>
          <w:rtl w:val="0"/>
          <w:lang w:val="ru-RU"/>
        </w:rPr>
        <w:t xml:space="preserve">  </w:t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lang w:val="ru-RU"/>
        </w:rPr>
        <w:fldChar w:fldCharType="begin" w:fldLock="0"/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lang w:val="ru-RU"/>
        </w:rPr>
        <w:instrText xml:space="preserve"> HYPERLINK "http://www.profistomat.ru"</w:instrText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lang w:val="ru-RU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en-US"/>
        </w:rPr>
        <w:t>profistomat</w:t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en-US"/>
        </w:rPr>
        <w:t>ru</w:t>
      </w:r>
      <w:r>
        <w:rPr/>
        <w:fldChar w:fldCharType="end" w:fldLock="0"/>
      </w:r>
    </w:p>
    <w:p>
      <w:pPr>
        <w:pStyle w:val="Обычный"/>
        <w:tabs>
          <w:tab w:val="left" w:pos="7455"/>
        </w:tabs>
        <w:spacing w:line="360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       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color="0070c0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              </w:t>
      </w:r>
    </w:p>
    <w:p>
      <w:pPr>
        <w:pStyle w:val="Обычный"/>
        <w:tabs>
          <w:tab w:val="left" w:pos="7455"/>
        </w:tabs>
        <w:jc w:val="center"/>
        <w:rPr>
          <w:rStyle w:val="Нет"/>
          <w:rFonts w:ascii="Calibri" w:cs="Calibri" w:hAnsi="Calibri" w:eastAsia="Calibri"/>
          <w:b w:val="1"/>
          <w:bCs w:val="1"/>
          <w:color w:val="0f243e"/>
          <w:sz w:val="20"/>
          <w:szCs w:val="20"/>
          <w:u w:color="0f243e"/>
        </w:rPr>
      </w:pP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Мы в соц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сетях</w:t>
      </w:r>
      <w:r>
        <w:rPr>
          <w:rStyle w:val="Нет"/>
          <w:rFonts w:ascii="Calibri" w:cs="Calibri" w:hAnsi="Calibri" w:eastAsia="Calibri"/>
          <w:b w:val="1"/>
          <w:bCs w:val="1"/>
          <w:color w:val="0f243e"/>
          <w:sz w:val="20"/>
          <w:szCs w:val="20"/>
          <w:u w:color="0f243e"/>
          <w:rtl w:val="0"/>
          <w:lang w:val="ru-RU"/>
        </w:rPr>
        <w:t>:</w:t>
      </w:r>
    </w:p>
    <w:p>
      <w:pPr>
        <w:pStyle w:val="Обычный"/>
        <w:tabs>
          <w:tab w:val="left" w:pos="4728"/>
        </w:tabs>
        <w:ind w:right="284"/>
        <w:jc w:val="center"/>
        <w:rPr>
          <w:rStyle w:val="Нет"/>
          <w:rFonts w:ascii="Calibri" w:cs="Calibri" w:hAnsi="Calibri" w:eastAsia="Calibri"/>
          <w:b w:val="1"/>
          <w:bCs w:val="1"/>
          <w:color w:val="0070c0"/>
          <w:sz w:val="16"/>
          <w:szCs w:val="16"/>
          <w:u w:val="single" w:color="0070c0"/>
        </w:rPr>
      </w:pP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255767" cy="190596"/>
            <wp:effectExtent l="0" t="0" r="0" b="0"/>
            <wp:docPr id="1073741832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 descr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67" cy="190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</w: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"https://vk.com/public92896615"</w:instrTex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public92896615</w:t>
      </w:r>
      <w:r>
        <w:rPr/>
        <w:fldChar w:fldCharType="end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    </w:t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285722" cy="263653"/>
            <wp:effectExtent l="0" t="0" r="0" b="0"/>
            <wp:docPr id="1073741833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 descr="imag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22" cy="263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 </w: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professionalstomatolog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333567" cy="333567"/>
            <wp:effectExtent l="0" t="0" r="0" b="0"/>
            <wp:docPr id="1073741834" name="officeArt object" descr="инстаграм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инстаграмм" descr="инстаграмм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7" cy="3335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professionalstomatolog</w:t>
      </w:r>
      <w:r>
        <w:rPr/>
        <w:fldChar w:fldCharType="end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276137" cy="276137"/>
            <wp:effectExtent l="0" t="0" r="0" b="0"/>
            <wp:docPr id="1073741835" name="officeArt object" descr="new-youtube-logo-eps-i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new-youtube-logo-eps-i14" descr="new-youtube-logo-eps-i14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37" cy="2761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channel/UCebn3_YQ6dxFBiWEA5cG2Ww</w:t>
      </w:r>
    </w:p>
    <w:p>
      <w:pPr>
        <w:pStyle w:val="Обычный"/>
        <w:ind w:right="283"/>
        <w:jc w:val="both"/>
        <w:rPr>
          <w:rFonts w:ascii="Calibri" w:cs="Calibri" w:hAnsi="Calibri" w:eastAsia="Calibri"/>
          <w:sz w:val="16"/>
          <w:szCs w:val="16"/>
          <w:lang w:val="en-US"/>
        </w:rPr>
      </w:pPr>
    </w:p>
    <w:p>
      <w:pPr>
        <w:pStyle w:val="Обычный"/>
        <w:tabs>
          <w:tab w:val="left" w:pos="7455"/>
        </w:tabs>
        <w:ind w:right="141"/>
        <w:jc w:val="center"/>
        <w:rPr>
          <w:rStyle w:val="Нет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</w:rPr>
      </w:pPr>
      <w:r>
        <w:rPr>
          <w:rStyle w:val="Нет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  <w:rtl w:val="0"/>
          <w:lang w:val="ru-RU"/>
        </w:rPr>
        <w:t>ФОРМЫ ОПЛАТЫ</w:t>
      </w:r>
      <w:r>
        <w:rPr>
          <w:rStyle w:val="Нет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right="141"/>
        <w:jc w:val="both"/>
        <w:rPr>
          <w:rStyle w:val="Hyperlink.0"/>
        </w:rPr>
      </w:pP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только на основании выписанного счета</w:t>
      </w:r>
      <w:r>
        <w:rPr>
          <w:rStyle w:val="Hyperlink.0.0"/>
          <w:rFonts w:ascii="Calibri" w:cs="Calibri" w:hAnsi="Calibri" w:eastAsia="Calibri"/>
          <w:sz w:val="20"/>
          <w:szCs w:val="20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:</w:t>
      </w:r>
      <w:r>
        <w:rPr>
          <w:rStyle w:val="Hyperlink.0.0"/>
          <w:rFonts w:ascii="Calibri" w:cs="Calibri" w:hAnsi="Calibri" w:eastAsia="Calibri"/>
          <w:sz w:val="20"/>
          <w:szCs w:val="20"/>
          <w:rtl w:val="0"/>
          <w:lang w:val="ru-RU"/>
        </w:rPr>
        <w:t xml:space="preserve"> </w:t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lang w:val="fr-FR"/>
        </w:rPr>
        <w:fldChar w:fldCharType="begin" w:fldLock="0"/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lang w:val="fr-FR"/>
        </w:rPr>
        <w:instrText xml:space="preserve"> HYPERLINK "mailto:xso@mail.ru"</w:instrText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lang w:val="fr-FR"/>
        </w:rPr>
        <w:fldChar w:fldCharType="separate" w:fldLock="0"/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ru-RU"/>
        </w:rPr>
        <w:t>@</w:t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ru-RU"/>
        </w:rPr>
        <w:t>.</w:t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0.0"/>
          <w:rFonts w:ascii="Calibri" w:cs="Calibri" w:hAnsi="Calibri" w:eastAsia="Calibri"/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right="141"/>
        <w:rPr>
          <w:rStyle w:val="Нет"/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  <w:rPr>
          <w:rStyle w:val="Нет"/>
          <w:rFonts w:ascii="Calibri" w:cs="Calibri" w:hAnsi="Calibri" w:eastAsia="Calibri"/>
          <w:color w:val="ff0000"/>
          <w:sz w:val="18"/>
          <w:szCs w:val="18"/>
          <w:u w:color="ff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Предварительная регистрация участников обязательна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!</w:t>
      </w:r>
    </w:p>
    <w:p>
      <w:pPr>
        <w:pStyle w:val="Обычный"/>
        <w:tabs>
          <w:tab w:val="left" w:pos="7455"/>
        </w:tabs>
        <w:jc w:val="center"/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</w:rPr>
      </w:pPr>
      <w:r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В дни проведения семинара будет осуществляться продажа литературы по стоматологии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</w:pPr>
      <w:r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2854960</wp:posOffset>
            </wp:positionH>
            <wp:positionV relativeFrom="line">
              <wp:posOffset>166370</wp:posOffset>
            </wp:positionV>
            <wp:extent cx="1090295" cy="10902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png" descr="image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6"/>
      <w:footerReference w:type="default" r:id="rId17"/>
      <w:pgSz w:w="11900" w:h="16840" w:orient="portrait"/>
      <w:pgMar w:top="397" w:right="425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928"/>
        </w:tabs>
        <w:ind w:left="709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2160"/>
        </w:tabs>
        <w:ind w:left="194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2880"/>
        </w:tabs>
        <w:ind w:left="266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3600"/>
        </w:tabs>
        <w:ind w:left="338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4320"/>
        </w:tabs>
        <w:ind w:left="410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5040"/>
        </w:tabs>
        <w:ind w:left="482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5760"/>
        </w:tabs>
        <w:ind w:left="554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6480"/>
        </w:tabs>
        <w:ind w:left="626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1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288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3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0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9"/>
            <w:tab w:val="num" w:pos="928"/>
          </w:tabs>
          <w:ind w:left="219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1941"/>
          </w:tabs>
          <w:ind w:left="123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2661"/>
          </w:tabs>
          <w:ind w:left="195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3381"/>
          </w:tabs>
          <w:ind w:left="267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4101"/>
          </w:tabs>
          <w:ind w:left="339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4821"/>
          </w:tabs>
          <w:ind w:left="411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5541"/>
          </w:tabs>
          <w:ind w:left="483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6261"/>
          </w:tabs>
          <w:ind w:left="555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Название">
    <w:name w:val="Название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sz w:val="20"/>
      <w:szCs w:val="20"/>
    </w:rPr>
  </w:style>
  <w:style w:type="character" w:styleId="Hyperlink.0.0">
    <w:name w:val="Hyperlink.0.0"/>
    <w:rPr>
      <w:rFonts w:ascii="Calibri" w:cs="Calibri" w:hAnsi="Calibri" w:eastAsia="Calibri"/>
      <w:sz w:val="20"/>
      <w:szCs w:val="20"/>
      <w:lang w:val="ru-RU"/>
    </w:rPr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color w:val="0070c0"/>
      <w:sz w:val="20"/>
      <w:szCs w:val="20"/>
      <w:u w:val="single" w:color="0070c0"/>
      <w:lang w:val="fr-FR"/>
    </w:rPr>
  </w:style>
  <w:style w:type="character" w:styleId="Hyperlink.2">
    <w:name w:val="Hyperlink.2"/>
    <w:rPr>
      <w:rFonts w:ascii="Calibri" w:cs="Calibri" w:hAnsi="Calibri" w:eastAsia="Calibri"/>
      <w:b w:val="1"/>
      <w:bCs w:val="1"/>
      <w:color w:val="0070c0"/>
      <w:sz w:val="20"/>
      <w:szCs w:val="20"/>
      <w:u w:val="single" w:color="0070c0"/>
      <w:lang w:val="ru-RU"/>
    </w:rPr>
  </w:style>
  <w:style w:type="character" w:styleId="Hyperlink.3">
    <w:name w:val="Hyperlink.3"/>
    <w:rPr>
      <w:rFonts w:ascii="Calibri" w:cs="Calibri" w:hAnsi="Calibri" w:eastAsia="Calibri"/>
      <w:color w:val="0f243e"/>
      <w:sz w:val="18"/>
      <w:szCs w:val="18"/>
      <w:u w:color="0f243e"/>
      <w:lang w:val="en-US"/>
    </w:rPr>
  </w:style>
  <w:style w:type="character" w:styleId="Hyperlink.4">
    <w:name w:val="Hyperlink.4"/>
    <w:basedOn w:val="Нет"/>
    <w:next w:val="Hyperlink.4"/>
    <w:rPr>
      <w:rFonts w:ascii="Calibri" w:cs="Calibri" w:hAnsi="Calibri" w:eastAsia="Calibri"/>
      <w:color w:val="0000ff"/>
      <w:sz w:val="20"/>
      <w:szCs w:val="20"/>
      <w:u w:val="single" w:color="0000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